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41"/>
        <w:jc w:val="right"/>
        <w:rPr>
          <w:rFonts w:cs="Times New Roman"/>
          <w:sz w:val="28"/>
          <w:szCs w:val="28"/>
          <w:highlight w:val="none"/>
        </w:rPr>
      </w:pP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none"/>
        </w:rPr>
        <w:t xml:space="preserve">Рекомендуемый образец</w:t>
      </w: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none"/>
        </w:rPr>
      </w:r>
    </w:p>
    <w:p>
      <w:pPr>
        <w:pStyle w:val="841"/>
        <w:jc w:val="right"/>
        <w:rPr>
          <w:rFonts w:cs="Times New Roman"/>
          <w:sz w:val="28"/>
          <w:szCs w:val="28"/>
          <w:highlight w:val="white"/>
        </w:rPr>
      </w:pPr>
      <w:r>
        <w:rPr>
          <w:rFonts w:cs="Times New Roman"/>
          <w:sz w:val="28"/>
          <w:szCs w:val="28"/>
          <w:highlight w:val="none"/>
        </w:rPr>
      </w:r>
      <w:r>
        <w:rPr>
          <w:rFonts w:cs="Times New Roman"/>
          <w:sz w:val="28"/>
          <w:szCs w:val="28"/>
          <w:highlight w:val="none"/>
        </w:rPr>
      </w:r>
    </w:p>
    <w:tbl>
      <w:tblPr>
        <w:tblStyle w:val="840"/>
        <w:tblW w:w="10031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ook w:val="04A0" w:firstRow="1" w:lastRow="0" w:firstColumn="1" w:lastColumn="0" w:noHBand="0" w:noVBand="1"/>
      </w:tblPr>
      <w:tblGrid>
        <w:gridCol w:w="3936"/>
        <w:gridCol w:w="992"/>
        <w:gridCol w:w="5103"/>
      </w:tblGrid>
      <w:tr>
        <w:tblPrEx/>
        <w:trPr/>
        <w:tc>
          <w:tcPr>
            <w:tcW w:w="3936" w:type="dxa"/>
            <w:textDirection w:val="lrTb"/>
            <w:noWrap w:val="false"/>
          </w:tcPr>
          <w:p>
            <w:pPr>
              <w:pStyle w:val="842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  <w:t xml:space="preserve">УТВЕРЖДАЮ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r>
          </w:p>
          <w:p>
            <w:pPr>
              <w:pStyle w:val="842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  <w:t xml:space="preserve">Министр физической культуры и спорта Новосибирской области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r>
          </w:p>
          <w:p>
            <w:pPr>
              <w:pStyle w:val="842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  <w:t xml:space="preserve">____________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  <w:t xml:space="preserve"> С.А.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  <w:t xml:space="preserve">Ахапов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r>
          </w:p>
          <w:p>
            <w:pPr>
              <w:pStyle w:val="841"/>
              <w:rPr>
                <w:rFonts w:cs="Times New Roman"/>
                <w:sz w:val="28"/>
                <w:szCs w:val="28"/>
                <w:highlight w:val="white"/>
              </w:rPr>
            </w:pPr>
            <w:r>
              <w:rPr>
                <w:rFonts w:eastAsia="Times New Roman" w:cs="Times New Roman"/>
                <w:sz w:val="28"/>
                <w:szCs w:val="28"/>
                <w:highlight w:val="white"/>
              </w:rPr>
              <w:t xml:space="preserve">«____» </w:t>
            </w:r>
            <w:r>
              <w:rPr>
                <w:rFonts w:eastAsia="Times New Roman" w:cs="Times New Roman"/>
                <w:sz w:val="28"/>
                <w:szCs w:val="28"/>
                <w:highlight w:val="white"/>
              </w:rPr>
              <w:t xml:space="preserve">__________</w:t>
            </w:r>
            <w:r>
              <w:rPr>
                <w:rFonts w:eastAsia="Times New Roman" w:cs="Times New Roman"/>
                <w:sz w:val="28"/>
                <w:szCs w:val="28"/>
                <w:highlight w:val="white"/>
              </w:rPr>
              <w:t xml:space="preserve">__ </w:t>
            </w:r>
            <w:r>
              <w:rPr>
                <w:rFonts w:eastAsia="Times New Roman" w:cs="Times New Roman"/>
                <w:sz w:val="28"/>
                <w:szCs w:val="28"/>
                <w:highlight w:val="white"/>
              </w:rPr>
              <w:t xml:space="preserve">20__ г.</w:t>
            </w:r>
            <w:r>
              <w:rPr>
                <w:rFonts w:cs="Times New Roman"/>
                <w:sz w:val="28"/>
                <w:szCs w:val="28"/>
                <w:highlight w:val="white"/>
              </w:rPr>
            </w:r>
            <w:r>
              <w:rPr>
                <w:rFonts w:cs="Times New Roman"/>
                <w:sz w:val="28"/>
                <w:szCs w:val="28"/>
                <w:highlight w:val="white"/>
              </w:rPr>
            </w:r>
          </w:p>
          <w:p>
            <w:pPr>
              <w:pStyle w:val="841"/>
              <w:rPr>
                <w:rFonts w:cs="Times New Roman"/>
                <w:szCs w:val="24"/>
                <w:highlight w:val="white"/>
              </w:rPr>
            </w:pPr>
            <w:r>
              <w:rPr>
                <w:rFonts w:cs="Times New Roman"/>
                <w:sz w:val="28"/>
                <w:szCs w:val="28"/>
                <w:highlight w:val="white"/>
              </w:rPr>
              <w:t xml:space="preserve">М.П.</w:t>
            </w:r>
            <w:r>
              <w:rPr>
                <w:rFonts w:cs="Times New Roman"/>
                <w:szCs w:val="24"/>
                <w:highlight w:val="white"/>
              </w:rPr>
            </w:r>
            <w:r>
              <w:rPr>
                <w:rFonts w:cs="Times New Roman"/>
                <w:szCs w:val="24"/>
                <w:highlight w:val="white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rPr>
                <w:rFonts w:cs="Times New Roman"/>
                <w:sz w:val="24"/>
                <w:szCs w:val="24"/>
                <w:highlight w:val="white"/>
              </w:rPr>
            </w:pPr>
            <w:r>
              <w:rPr>
                <w:rFonts w:cs="Times New Roman"/>
                <w:sz w:val="24"/>
                <w:szCs w:val="24"/>
                <w:highlight w:val="white"/>
              </w:rPr>
            </w:r>
            <w:r>
              <w:rPr>
                <w:rFonts w:cs="Times New Roman"/>
                <w:sz w:val="24"/>
                <w:szCs w:val="24"/>
                <w:highlight w:val="white"/>
              </w:rPr>
            </w:r>
            <w:r>
              <w:rPr>
                <w:rFonts w:cs="Times New Roman"/>
                <w:sz w:val="24"/>
                <w:szCs w:val="24"/>
                <w:highlight w:val="white"/>
              </w:rPr>
            </w:r>
          </w:p>
        </w:tc>
        <w:tc>
          <w:tcPr>
            <w:tcW w:w="5103" w:type="dxa"/>
            <w:textDirection w:val="lrTb"/>
            <w:noWrap w:val="false"/>
          </w:tcPr>
          <w:p>
            <w:pPr>
              <w:pStyle w:val="841"/>
              <w:jc w:val="center"/>
              <w:rPr>
                <w:rFonts w:cs="Times New Roman"/>
                <w:sz w:val="28"/>
                <w:szCs w:val="28"/>
                <w:highlight w:val="white"/>
              </w:rPr>
            </w:pPr>
            <w:r>
              <w:rPr>
                <w:rFonts w:cs="Times New Roman"/>
                <w:sz w:val="28"/>
                <w:szCs w:val="28"/>
                <w:highlight w:val="white"/>
              </w:rPr>
              <w:t xml:space="preserve">П</w:t>
            </w:r>
            <w:r>
              <w:rPr>
                <w:rFonts w:cs="Times New Roman"/>
                <w:sz w:val="28"/>
                <w:szCs w:val="28"/>
                <w:highlight w:val="white"/>
              </w:rPr>
              <w:t xml:space="preserve">ринят</w:t>
            </w:r>
            <w:r>
              <w:rPr>
                <w:rFonts w:cs="Times New Roman"/>
                <w:sz w:val="28"/>
                <w:szCs w:val="28"/>
                <w:highlight w:val="white"/>
              </w:rPr>
              <w:t xml:space="preserve">а</w:t>
            </w:r>
            <w:r>
              <w:rPr>
                <w:rFonts w:cs="Times New Roman"/>
                <w:sz w:val="28"/>
                <w:szCs w:val="28"/>
                <w:highlight w:val="white"/>
              </w:rPr>
              <w:t xml:space="preserve"> </w:t>
            </w:r>
            <w:r>
              <w:rPr>
                <w:rFonts w:cs="Times New Roman"/>
                <w:sz w:val="28"/>
                <w:szCs w:val="28"/>
                <w:highlight w:val="white"/>
              </w:rPr>
              <w:t xml:space="preserve">решение</w:t>
            </w:r>
            <w:r>
              <w:rPr>
                <w:rFonts w:cs="Times New Roman"/>
                <w:sz w:val="28"/>
                <w:szCs w:val="28"/>
                <w:highlight w:val="white"/>
              </w:rPr>
              <w:t xml:space="preserve">м _________</w:t>
            </w:r>
            <w:r>
              <w:rPr>
                <w:rFonts w:cs="Times New Roman"/>
                <w:sz w:val="28"/>
                <w:szCs w:val="28"/>
                <w:highlight w:val="white"/>
              </w:rPr>
              <w:t xml:space="preserve">_____</w:t>
            </w:r>
            <w:r>
              <w:rPr>
                <w:rFonts w:cs="Times New Roman"/>
                <w:sz w:val="28"/>
                <w:szCs w:val="28"/>
                <w:highlight w:val="white"/>
              </w:rPr>
            </w:r>
            <w:r>
              <w:rPr>
                <w:rFonts w:cs="Times New Roman"/>
                <w:sz w:val="28"/>
                <w:szCs w:val="28"/>
                <w:highlight w:val="white"/>
              </w:rPr>
            </w:r>
          </w:p>
          <w:p>
            <w:pPr>
              <w:pStyle w:val="841"/>
              <w:jc w:val="center"/>
              <w:rPr>
                <w:rFonts w:cs="Times New Roman"/>
                <w:sz w:val="28"/>
                <w:szCs w:val="28"/>
                <w:highlight w:val="white"/>
              </w:rPr>
            </w:pPr>
            <w:r>
              <w:rPr>
                <w:rFonts w:cs="Times New Roman"/>
                <w:sz w:val="28"/>
                <w:szCs w:val="28"/>
                <w:highlight w:val="white"/>
              </w:rPr>
              <w:t xml:space="preserve">_____________________________</w:t>
            </w:r>
            <w:r>
              <w:rPr>
                <w:rFonts w:cs="Times New Roman"/>
                <w:sz w:val="28"/>
                <w:szCs w:val="28"/>
                <w:highlight w:val="white"/>
              </w:rPr>
              <w:t xml:space="preserve">_</w:t>
            </w:r>
            <w:r>
              <w:rPr>
                <w:rFonts w:cs="Times New Roman"/>
                <w:sz w:val="28"/>
                <w:szCs w:val="28"/>
                <w:highlight w:val="white"/>
              </w:rPr>
            </w:r>
            <w:r>
              <w:rPr>
                <w:rFonts w:cs="Times New Roman"/>
                <w:sz w:val="28"/>
                <w:szCs w:val="28"/>
                <w:highlight w:val="white"/>
              </w:rPr>
            </w:r>
          </w:p>
          <w:p>
            <w:pPr>
              <w:pStyle w:val="841"/>
              <w:jc w:val="center"/>
              <w:rPr>
                <w:rFonts w:cs="Times New Roman"/>
                <w:sz w:val="28"/>
                <w:szCs w:val="28"/>
                <w:highlight w:val="white"/>
              </w:rPr>
            </w:pPr>
            <w:r>
              <w:rPr>
                <w:rFonts w:cs="Times New Roman"/>
                <w:sz w:val="28"/>
                <w:szCs w:val="28"/>
                <w:highlight w:val="white"/>
              </w:rPr>
              <w:t xml:space="preserve">__</w:t>
            </w:r>
            <w:r>
              <w:rPr>
                <w:rFonts w:cs="Times New Roman"/>
                <w:sz w:val="28"/>
                <w:szCs w:val="28"/>
                <w:highlight w:val="white"/>
              </w:rPr>
              <w:t xml:space="preserve">____________________________</w:t>
            </w:r>
            <w:r>
              <w:rPr>
                <w:rFonts w:cs="Times New Roman"/>
                <w:sz w:val="28"/>
                <w:szCs w:val="28"/>
                <w:highlight w:val="white"/>
              </w:rPr>
            </w:r>
            <w:r>
              <w:rPr>
                <w:rFonts w:cs="Times New Roman"/>
                <w:sz w:val="28"/>
                <w:szCs w:val="28"/>
                <w:highlight w:val="white"/>
              </w:rPr>
            </w:r>
          </w:p>
          <w:p>
            <w:pPr>
              <w:pStyle w:val="841"/>
              <w:jc w:val="center"/>
              <w:rPr>
                <w:rFonts w:cs="Times New Roman"/>
                <w:sz w:val="20"/>
                <w:szCs w:val="20"/>
                <w:highlight w:val="white"/>
              </w:rPr>
            </w:pPr>
            <w:r>
              <w:rPr>
                <w:rFonts w:cs="Times New Roman"/>
                <w:sz w:val="20"/>
                <w:szCs w:val="20"/>
                <w:highlight w:val="white"/>
              </w:rPr>
              <w:t xml:space="preserve">(наименование постоянно действующего </w:t>
            </w:r>
            <w:r>
              <w:rPr>
                <w:rFonts w:cs="Times New Roman"/>
                <w:sz w:val="20"/>
                <w:szCs w:val="20"/>
                <w:highlight w:val="white"/>
              </w:rPr>
              <w:t xml:space="preserve">коллегиального органа федерации</w:t>
            </w:r>
            <w:r>
              <w:rPr>
                <w:rFonts w:cs="Times New Roman"/>
                <w:sz w:val="20"/>
                <w:szCs w:val="20"/>
                <w:highlight w:val="white"/>
              </w:rPr>
              <w:t xml:space="preserve">)</w:t>
            </w:r>
            <w:r>
              <w:rPr>
                <w:rFonts w:cs="Times New Roman"/>
                <w:sz w:val="20"/>
                <w:szCs w:val="20"/>
                <w:highlight w:val="white"/>
              </w:rPr>
            </w:r>
            <w:r>
              <w:rPr>
                <w:rFonts w:cs="Times New Roman"/>
                <w:sz w:val="20"/>
                <w:szCs w:val="20"/>
                <w:highlight w:val="white"/>
              </w:rPr>
            </w:r>
          </w:p>
          <w:p>
            <w:pPr>
              <w:pStyle w:val="841"/>
              <w:jc w:val="center"/>
              <w:rPr>
                <w:rFonts w:cs="Times New Roman"/>
                <w:sz w:val="28"/>
                <w:szCs w:val="28"/>
                <w:highlight w:val="white"/>
              </w:rPr>
            </w:pPr>
            <w:r>
              <w:rPr>
                <w:rFonts w:cs="Times New Roman"/>
                <w:sz w:val="28"/>
                <w:szCs w:val="28"/>
                <w:highlight w:val="white"/>
              </w:rPr>
              <w:t xml:space="preserve">«___» ________</w:t>
            </w:r>
            <w:r>
              <w:rPr>
                <w:rFonts w:cs="Times New Roman"/>
                <w:sz w:val="28"/>
                <w:szCs w:val="28"/>
                <w:highlight w:val="white"/>
              </w:rPr>
              <w:t xml:space="preserve"> 20__</w:t>
            </w:r>
            <w:r>
              <w:rPr>
                <w:rFonts w:cs="Times New Roman"/>
                <w:sz w:val="28"/>
                <w:szCs w:val="28"/>
                <w:highlight w:val="white"/>
              </w:rPr>
              <w:t xml:space="preserve"> г.</w:t>
            </w:r>
            <w:r>
              <w:rPr>
                <w:rFonts w:cs="Times New Roman"/>
                <w:sz w:val="28"/>
                <w:szCs w:val="28"/>
                <w:highlight w:val="white"/>
              </w:rPr>
              <w:t xml:space="preserve">,</w:t>
            </w:r>
            <w:r>
              <w:rPr>
                <w:rFonts w:cs="Times New Roman"/>
                <w:sz w:val="28"/>
                <w:szCs w:val="28"/>
                <w:highlight w:val="white"/>
              </w:rPr>
              <w:t xml:space="preserve"> </w:t>
            </w:r>
            <w:r>
              <w:rPr>
                <w:rFonts w:cs="Times New Roman"/>
                <w:sz w:val="28"/>
                <w:szCs w:val="28"/>
                <w:highlight w:val="white"/>
              </w:rPr>
              <w:t xml:space="preserve">протокол № ___</w:t>
            </w:r>
            <w:r>
              <w:rPr>
                <w:rFonts w:cs="Times New Roman"/>
                <w:sz w:val="28"/>
                <w:szCs w:val="28"/>
                <w:highlight w:val="white"/>
              </w:rPr>
            </w:r>
            <w:r>
              <w:rPr>
                <w:rFonts w:cs="Times New Roman"/>
                <w:sz w:val="28"/>
                <w:szCs w:val="28"/>
                <w:highlight w:val="white"/>
              </w:rPr>
            </w:r>
          </w:p>
          <w:p>
            <w:pPr>
              <w:contextualSpacing/>
              <w:ind w:firstLine="35"/>
              <w:jc w:val="center"/>
              <w:rPr>
                <w:rFonts w:cs="Times New Roman"/>
                <w:szCs w:val="28"/>
                <w:highlight w:val="white"/>
              </w:rPr>
            </w:pPr>
            <w:r>
              <w:rPr>
                <w:rFonts w:cs="Times New Roman"/>
                <w:szCs w:val="28"/>
                <w:highlight w:val="white"/>
              </w:rPr>
              <w:t xml:space="preserve">__________________________________</w:t>
            </w:r>
            <w:r>
              <w:rPr>
                <w:rFonts w:cs="Times New Roman"/>
                <w:szCs w:val="28"/>
                <w:highlight w:val="white"/>
              </w:rPr>
            </w:r>
            <w:r>
              <w:rPr>
                <w:rFonts w:cs="Times New Roman"/>
                <w:szCs w:val="28"/>
                <w:highlight w:val="white"/>
              </w:rPr>
            </w:r>
          </w:p>
          <w:p>
            <w:pPr>
              <w:pStyle w:val="841"/>
              <w:jc w:val="center"/>
              <w:rPr>
                <w:rFonts w:cs="Times New Roman"/>
                <w:sz w:val="20"/>
                <w:szCs w:val="20"/>
                <w:highlight w:val="white"/>
              </w:rPr>
            </w:pPr>
            <w:r>
              <w:rPr>
                <w:rFonts w:cs="Times New Roman"/>
                <w:sz w:val="20"/>
                <w:szCs w:val="20"/>
                <w:highlight w:val="white"/>
              </w:rPr>
              <w:t xml:space="preserve">(указывается должность руководителя или лица, имеющего право без доверенности действовать от имени федерации, или уполномоченного лица федерации, действующего</w:t>
            </w:r>
            <w:r>
              <w:rPr>
                <w:rFonts w:cs="Times New Roman"/>
                <w:sz w:val="20"/>
                <w:szCs w:val="20"/>
                <w:highlight w:val="white"/>
              </w:rPr>
            </w:r>
            <w:r>
              <w:rPr>
                <w:rFonts w:cs="Times New Roman"/>
                <w:sz w:val="20"/>
                <w:szCs w:val="20"/>
                <w:highlight w:val="white"/>
              </w:rPr>
            </w:r>
          </w:p>
          <w:p>
            <w:pPr>
              <w:pStyle w:val="841"/>
              <w:jc w:val="center"/>
              <w:rPr>
                <w:rFonts w:cs="Times New Roman"/>
                <w:sz w:val="20"/>
                <w:szCs w:val="20"/>
                <w:highlight w:val="white"/>
              </w:rPr>
            </w:pPr>
            <w:r>
              <w:rPr>
                <w:rFonts w:cs="Times New Roman"/>
                <w:sz w:val="20"/>
                <w:szCs w:val="20"/>
                <w:highlight w:val="white"/>
              </w:rPr>
              <w:t xml:space="preserve">на основании доверенности)</w:t>
            </w:r>
            <w:r>
              <w:rPr>
                <w:rFonts w:cs="Times New Roman"/>
                <w:sz w:val="20"/>
                <w:szCs w:val="20"/>
                <w:highlight w:val="white"/>
              </w:rPr>
            </w:r>
            <w:r>
              <w:rPr>
                <w:rFonts w:cs="Times New Roman"/>
                <w:sz w:val="20"/>
                <w:szCs w:val="20"/>
                <w:highlight w:val="white"/>
              </w:rPr>
            </w:r>
          </w:p>
          <w:p>
            <w:pPr>
              <w:contextualSpacing/>
              <w:ind w:firstLine="35"/>
              <w:jc w:val="center"/>
              <w:rPr>
                <w:rFonts w:cs="Times New Roman"/>
                <w:szCs w:val="28"/>
                <w:highlight w:val="white"/>
              </w:rPr>
            </w:pPr>
            <w:r>
              <w:rPr>
                <w:rFonts w:cs="Times New Roman"/>
                <w:szCs w:val="28"/>
                <w:highlight w:val="white"/>
              </w:rPr>
              <w:t xml:space="preserve">__</w:t>
            </w:r>
            <w:r>
              <w:rPr>
                <w:rFonts w:cs="Times New Roman"/>
                <w:szCs w:val="28"/>
                <w:highlight w:val="white"/>
              </w:rPr>
              <w:t xml:space="preserve">____________</w:t>
            </w:r>
            <w:r>
              <w:rPr>
                <w:rFonts w:cs="Times New Roman"/>
                <w:szCs w:val="28"/>
                <w:highlight w:val="white"/>
              </w:rPr>
              <w:t xml:space="preserve">             </w:t>
            </w:r>
            <w:r>
              <w:rPr>
                <w:rFonts w:cs="Times New Roman"/>
                <w:szCs w:val="28"/>
                <w:highlight w:val="white"/>
              </w:rPr>
              <w:t xml:space="preserve">___</w:t>
            </w:r>
            <w:r>
              <w:rPr>
                <w:rFonts w:cs="Times New Roman"/>
                <w:szCs w:val="28"/>
                <w:highlight w:val="white"/>
              </w:rPr>
              <w:t xml:space="preserve">___________</w:t>
            </w:r>
            <w:r>
              <w:rPr>
                <w:rFonts w:cs="Times New Roman"/>
                <w:szCs w:val="28"/>
                <w:highlight w:val="white"/>
              </w:rPr>
            </w:r>
            <w:r>
              <w:rPr>
                <w:rFonts w:cs="Times New Roman"/>
                <w:szCs w:val="28"/>
                <w:highlight w:val="white"/>
              </w:rPr>
            </w:r>
          </w:p>
          <w:p>
            <w:pPr>
              <w:contextualSpacing/>
              <w:ind w:firstLine="35"/>
              <w:jc w:val="center"/>
              <w:rPr>
                <w:rFonts w:cs="Times New Roman"/>
                <w:sz w:val="22"/>
                <w:szCs w:val="28"/>
                <w:highlight w:val="white"/>
              </w:rPr>
            </w:pPr>
            <w:r>
              <w:rPr>
                <w:rFonts w:cs="Times New Roman"/>
                <w:sz w:val="20"/>
                <w:szCs w:val="28"/>
                <w:highlight w:val="white"/>
              </w:rPr>
              <w:t xml:space="preserve">(подпись)                              </w:t>
            </w:r>
            <w:r>
              <w:rPr>
                <w:rFonts w:cs="Times New Roman"/>
                <w:sz w:val="20"/>
                <w:szCs w:val="28"/>
                <w:highlight w:val="white"/>
              </w:rPr>
              <w:t xml:space="preserve">           </w:t>
            </w:r>
            <w:r>
              <w:rPr>
                <w:rFonts w:cs="Times New Roman"/>
                <w:sz w:val="20"/>
                <w:szCs w:val="28"/>
                <w:highlight w:val="white"/>
              </w:rPr>
              <w:t xml:space="preserve">Фамилия И.О.</w:t>
            </w:r>
            <w:r>
              <w:rPr>
                <w:rFonts w:cs="Times New Roman"/>
                <w:sz w:val="22"/>
                <w:szCs w:val="28"/>
                <w:highlight w:val="white"/>
              </w:rPr>
            </w:r>
            <w:r>
              <w:rPr>
                <w:rFonts w:cs="Times New Roman"/>
                <w:sz w:val="22"/>
                <w:szCs w:val="28"/>
                <w:highlight w:val="white"/>
              </w:rPr>
            </w:r>
          </w:p>
          <w:p>
            <w:pPr>
              <w:pStyle w:val="841"/>
              <w:jc w:val="center"/>
              <w:rPr>
                <w:rFonts w:cs="Times New Roman"/>
                <w:sz w:val="28"/>
                <w:szCs w:val="28"/>
                <w:highlight w:val="white"/>
              </w:rPr>
            </w:pPr>
            <w:r>
              <w:rPr>
                <w:rFonts w:cs="Times New Roman"/>
                <w:sz w:val="28"/>
                <w:szCs w:val="28"/>
                <w:highlight w:val="white"/>
              </w:rPr>
              <w:t xml:space="preserve">«___» ____________ 20 ___ г.</w:t>
            </w:r>
            <w:r>
              <w:rPr>
                <w:rFonts w:cs="Times New Roman"/>
                <w:sz w:val="28"/>
                <w:szCs w:val="28"/>
                <w:highlight w:val="white"/>
              </w:rPr>
            </w:r>
            <w:r>
              <w:rPr>
                <w:rFonts w:cs="Times New Roman"/>
                <w:sz w:val="28"/>
                <w:szCs w:val="28"/>
                <w:highlight w:val="white"/>
              </w:rPr>
            </w:r>
          </w:p>
          <w:p>
            <w:pPr>
              <w:contextualSpacing/>
              <w:ind w:firstLine="34"/>
              <w:rPr>
                <w:rFonts w:cs="Times New Roman"/>
                <w:szCs w:val="28"/>
                <w:highlight w:val="white"/>
              </w:rPr>
            </w:pPr>
            <w:r>
              <w:rPr>
                <w:rFonts w:cs="Times New Roman"/>
                <w:szCs w:val="28"/>
                <w:highlight w:val="white"/>
              </w:rPr>
              <w:t xml:space="preserve">М.П.</w:t>
            </w:r>
            <w:r>
              <w:rPr>
                <w:rFonts w:cs="Times New Roman"/>
                <w:szCs w:val="28"/>
                <w:highlight w:val="white"/>
              </w:rPr>
            </w:r>
            <w:r>
              <w:rPr>
                <w:rFonts w:cs="Times New Roman"/>
                <w:szCs w:val="28"/>
                <w:highlight w:val="white"/>
              </w:rPr>
            </w:r>
          </w:p>
        </w:tc>
      </w:tr>
    </w:tbl>
    <w:p>
      <w:pPr>
        <w:pStyle w:val="841"/>
        <w:jc w:val="center"/>
        <w:rPr>
          <w:rFonts w:cs="Times New Roman"/>
          <w:sz w:val="28"/>
          <w:szCs w:val="28"/>
          <w:highlight w:val="white"/>
        </w:rPr>
      </w:pP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</w:p>
    <w:p>
      <w:pPr>
        <w:pStyle w:val="841"/>
        <w:jc w:val="center"/>
        <w:rPr>
          <w:rFonts w:cs="Times New Roman"/>
          <w:sz w:val="28"/>
          <w:szCs w:val="28"/>
          <w:highlight w:val="white"/>
        </w:rPr>
      </w:pP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</w:p>
    <w:p>
      <w:pPr>
        <w:pStyle w:val="841"/>
        <w:jc w:val="center"/>
        <w:rPr>
          <w:rFonts w:cs="Times New Roman"/>
          <w:sz w:val="28"/>
          <w:szCs w:val="28"/>
          <w:highlight w:val="white"/>
        </w:rPr>
      </w:pP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</w:p>
    <w:p>
      <w:pPr>
        <w:pStyle w:val="841"/>
        <w:jc w:val="center"/>
        <w:rPr>
          <w:rFonts w:cs="Times New Roman"/>
          <w:sz w:val="28"/>
          <w:szCs w:val="28"/>
          <w:highlight w:val="white"/>
        </w:rPr>
      </w:pP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</w:p>
    <w:p>
      <w:pPr>
        <w:pStyle w:val="841"/>
        <w:jc w:val="center"/>
        <w:rPr>
          <w:rFonts w:cs="Times New Roman"/>
          <w:sz w:val="28"/>
          <w:szCs w:val="28"/>
          <w:highlight w:val="white"/>
        </w:rPr>
      </w:pP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</w:p>
    <w:p>
      <w:pPr>
        <w:pStyle w:val="841"/>
        <w:jc w:val="center"/>
        <w:rPr>
          <w:rFonts w:cs="Times New Roman"/>
          <w:sz w:val="28"/>
          <w:szCs w:val="28"/>
          <w:highlight w:val="white"/>
        </w:rPr>
      </w:pP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</w:p>
    <w:p>
      <w:pPr>
        <w:pStyle w:val="841"/>
        <w:jc w:val="center"/>
        <w:rPr>
          <w:rFonts w:cs="Times New Roman"/>
          <w:sz w:val="28"/>
          <w:szCs w:val="28"/>
          <w:highlight w:val="white"/>
        </w:rPr>
      </w:pPr>
      <w:r>
        <w:rPr>
          <w:rFonts w:cs="Times New Roman"/>
          <w:sz w:val="28"/>
          <w:szCs w:val="28"/>
          <w:highlight w:val="white"/>
        </w:rPr>
        <w:t xml:space="preserve">Программа </w:t>
      </w: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</w:p>
    <w:p>
      <w:pPr>
        <w:pStyle w:val="841"/>
        <w:jc w:val="center"/>
        <w:rPr>
          <w:rFonts w:cs="Times New Roman"/>
          <w:sz w:val="28"/>
          <w:szCs w:val="28"/>
          <w:highlight w:val="white"/>
        </w:rPr>
      </w:pPr>
      <w:r>
        <w:rPr>
          <w:rFonts w:cs="Times New Roman"/>
          <w:sz w:val="28"/>
          <w:szCs w:val="28"/>
          <w:highlight w:val="white"/>
        </w:rPr>
        <w:t xml:space="preserve">развития _____________________</w:t>
      </w:r>
      <w:r>
        <w:rPr>
          <w:rFonts w:cs="Times New Roman"/>
          <w:sz w:val="28"/>
          <w:szCs w:val="28"/>
          <w:highlight w:val="white"/>
        </w:rPr>
        <w:t xml:space="preserve">______</w:t>
      </w:r>
      <w:r>
        <w:rPr>
          <w:rFonts w:cs="Times New Roman"/>
          <w:sz w:val="28"/>
          <w:szCs w:val="28"/>
          <w:highlight w:val="white"/>
        </w:rPr>
        <w:t xml:space="preserve"> </w:t>
      </w:r>
      <w:r>
        <w:rPr>
          <w:rFonts w:cs="Times New Roman"/>
          <w:sz w:val="28"/>
          <w:szCs w:val="28"/>
          <w:highlight w:val="white"/>
        </w:rPr>
        <w:t xml:space="preserve">в </w:t>
      </w:r>
      <w:r>
        <w:rPr>
          <w:rFonts w:cs="Times New Roman"/>
          <w:sz w:val="28"/>
          <w:szCs w:val="28"/>
          <w:highlight w:val="white"/>
        </w:rPr>
        <w:t xml:space="preserve">Новосибирской области</w:t>
      </w: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</w:p>
    <w:p>
      <w:pPr>
        <w:pStyle w:val="841"/>
        <w:ind w:right="2551"/>
        <w:jc w:val="center"/>
        <w:rPr>
          <w:rFonts w:cs="Times New Roman"/>
          <w:sz w:val="20"/>
          <w:szCs w:val="28"/>
          <w:highlight w:val="white"/>
        </w:rPr>
      </w:pPr>
      <w:r>
        <w:rPr>
          <w:rFonts w:cs="Times New Roman"/>
          <w:sz w:val="20"/>
          <w:szCs w:val="28"/>
          <w:highlight w:val="white"/>
        </w:rPr>
        <w:t xml:space="preserve">        </w:t>
      </w:r>
      <w:r>
        <w:rPr>
          <w:rFonts w:cs="Times New Roman"/>
          <w:sz w:val="20"/>
          <w:szCs w:val="28"/>
          <w:highlight w:val="white"/>
        </w:rPr>
        <w:t xml:space="preserve">(вид спорта</w:t>
      </w:r>
      <w:r>
        <w:rPr>
          <w:rFonts w:cs="Times New Roman"/>
          <w:sz w:val="20"/>
          <w:szCs w:val="28"/>
          <w:highlight w:val="white"/>
        </w:rPr>
        <w:t xml:space="preserve"> в соответствии с ВРВС</w:t>
      </w:r>
      <w:r>
        <w:rPr>
          <w:rFonts w:cs="Times New Roman"/>
          <w:sz w:val="20"/>
          <w:szCs w:val="28"/>
          <w:highlight w:val="white"/>
        </w:rPr>
        <w:t xml:space="preserve">)</w:t>
      </w:r>
      <w:r>
        <w:rPr>
          <w:rFonts w:cs="Times New Roman"/>
          <w:sz w:val="20"/>
          <w:szCs w:val="28"/>
          <w:highlight w:val="white"/>
        </w:rPr>
      </w:r>
      <w:r>
        <w:rPr>
          <w:rFonts w:cs="Times New Roman"/>
          <w:sz w:val="20"/>
          <w:szCs w:val="28"/>
          <w:highlight w:val="white"/>
        </w:rPr>
      </w:r>
    </w:p>
    <w:p>
      <w:pPr>
        <w:pStyle w:val="841"/>
        <w:jc w:val="center"/>
        <w:rPr>
          <w:rFonts w:cs="Times New Roman"/>
          <w:sz w:val="28"/>
          <w:szCs w:val="28"/>
          <w:highlight w:val="white"/>
        </w:rPr>
      </w:pPr>
      <w:r>
        <w:rPr>
          <w:rFonts w:cs="Times New Roman"/>
          <w:sz w:val="28"/>
          <w:szCs w:val="28"/>
          <w:highlight w:val="white"/>
        </w:rPr>
        <w:t xml:space="preserve">на</w:t>
      </w:r>
      <w:r>
        <w:rPr>
          <w:rFonts w:cs="Times New Roman"/>
          <w:sz w:val="28"/>
          <w:szCs w:val="28"/>
          <w:highlight w:val="white"/>
        </w:rPr>
        <w:t xml:space="preserve"> 20__</w:t>
      </w:r>
      <w:r>
        <w:rPr>
          <w:rFonts w:cs="Times New Roman"/>
          <w:sz w:val="28"/>
          <w:szCs w:val="28"/>
          <w:highlight w:val="white"/>
        </w:rPr>
        <w:t xml:space="preserve"> - 20__</w:t>
      </w:r>
      <w:r>
        <w:rPr>
          <w:rFonts w:cs="Times New Roman"/>
          <w:sz w:val="28"/>
          <w:szCs w:val="28"/>
          <w:highlight w:val="white"/>
        </w:rPr>
        <w:t xml:space="preserve"> год</w:t>
      </w:r>
      <w:r>
        <w:rPr>
          <w:rFonts w:cs="Times New Roman"/>
          <w:sz w:val="28"/>
          <w:szCs w:val="28"/>
          <w:highlight w:val="white"/>
        </w:rPr>
        <w:t xml:space="preserve">ы</w:t>
      </w: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</w:p>
    <w:p>
      <w:pPr>
        <w:rPr>
          <w:rFonts w:cs="Times New Roman"/>
          <w:highlight w:val="white"/>
        </w:rPr>
      </w:pP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</w:p>
    <w:p>
      <w:pPr>
        <w:rPr>
          <w:rFonts w:cs="Times New Roman"/>
          <w:highlight w:val="white"/>
        </w:rPr>
      </w:pP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</w:p>
    <w:p>
      <w:pPr>
        <w:rPr>
          <w:rFonts w:cs="Times New Roman"/>
          <w:highlight w:val="white"/>
        </w:rPr>
      </w:pP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</w:p>
    <w:p>
      <w:pPr>
        <w:rPr>
          <w:rFonts w:cs="Times New Roman"/>
          <w:highlight w:val="white"/>
        </w:rPr>
      </w:pP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</w:p>
    <w:p>
      <w:pPr>
        <w:rPr>
          <w:rFonts w:cs="Times New Roman"/>
          <w:highlight w:val="white"/>
        </w:rPr>
      </w:pP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</w:p>
    <w:p>
      <w:pPr>
        <w:rPr>
          <w:rFonts w:cs="Times New Roman"/>
          <w:highlight w:val="white"/>
        </w:rPr>
      </w:pP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</w:p>
    <w:p>
      <w:pPr>
        <w:rPr>
          <w:rFonts w:cs="Times New Roman"/>
          <w:highlight w:val="white"/>
        </w:rPr>
      </w:pP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</w:p>
    <w:tbl>
      <w:tblPr>
        <w:tblStyle w:val="840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786"/>
        <w:gridCol w:w="5351"/>
      </w:tblGrid>
      <w:tr>
        <w:tblPrEx/>
        <w:trPr/>
        <w:tc>
          <w:tcPr>
            <w:tcW w:w="4786" w:type="dxa"/>
            <w:textDirection w:val="lrTb"/>
            <w:noWrap w:val="false"/>
          </w:tcPr>
          <w:p>
            <w:pPr>
              <w:pStyle w:val="842"/>
              <w:jc w:val="right"/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r>
          </w:p>
        </w:tc>
        <w:tc>
          <w:tcPr>
            <w:tcW w:w="5351" w:type="dxa"/>
            <w:textDirection w:val="lrTb"/>
            <w:noWrap w:val="false"/>
          </w:tcPr>
          <w:p>
            <w:pPr>
              <w:pStyle w:val="842"/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  <w:t xml:space="preserve">Дата рассмотрения «____» _______20__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  <w:t xml:space="preserve"> г.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r>
          </w:p>
          <w:p>
            <w:pPr>
              <w:pStyle w:val="842"/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  <w:t xml:space="preserve">Должность исполнителя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  <w:t xml:space="preserve">_______________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</w:r>
          </w:p>
          <w:p>
            <w:pPr>
              <w:pStyle w:val="842"/>
              <w:rPr>
                <w:rFonts w:ascii="Times New Roman" w:hAnsi="Times New Roman" w:cs="Times New Roman"/>
                <w:sz w:val="2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  <w:t xml:space="preserve">Фамилия И.О.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  <w:t xml:space="preserve">исполнителя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  <w:t xml:space="preserve">__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  <w:t xml:space="preserve">_____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white"/>
              </w:rPr>
              <w:t xml:space="preserve">_____</w:t>
            </w:r>
            <w:r>
              <w:rPr>
                <w:rFonts w:ascii="Times New Roman" w:hAnsi="Times New Roman" w:cs="Times New Roman"/>
                <w:sz w:val="28"/>
                <w:highlight w:val="white"/>
              </w:rPr>
            </w:r>
            <w:r>
              <w:rPr>
                <w:rFonts w:ascii="Times New Roman" w:hAnsi="Times New Roman" w:cs="Times New Roman"/>
                <w:sz w:val="28"/>
                <w:highlight w:val="white"/>
              </w:rPr>
            </w:r>
          </w:p>
          <w:p>
            <w:pPr>
              <w:jc w:val="right"/>
              <w:rPr>
                <w:rFonts w:cs="Times New Roman"/>
                <w:sz w:val="20"/>
                <w:highlight w:val="white"/>
              </w:rPr>
            </w:pPr>
            <w:r>
              <w:rPr>
                <w:rFonts w:cs="Times New Roman"/>
                <w:sz w:val="20"/>
                <w:highlight w:val="white"/>
              </w:rPr>
              <w:t xml:space="preserve">                                                       </w:t>
            </w:r>
            <w:r>
              <w:rPr>
                <w:rFonts w:cs="Times New Roman"/>
                <w:sz w:val="20"/>
                <w:highlight w:val="white"/>
              </w:rPr>
              <w:t xml:space="preserve">(подпись</w:t>
            </w:r>
            <w:r>
              <w:rPr>
                <w:rFonts w:cs="Times New Roman"/>
                <w:sz w:val="20"/>
                <w:highlight w:val="white"/>
              </w:rPr>
              <w:t xml:space="preserve">)</w:t>
            </w:r>
            <w:r>
              <w:rPr>
                <w:rFonts w:cs="Times New Roman"/>
                <w:sz w:val="20"/>
                <w:highlight w:val="white"/>
              </w:rPr>
            </w:r>
            <w:r>
              <w:rPr>
                <w:rFonts w:cs="Times New Roman"/>
                <w:sz w:val="20"/>
                <w:highlight w:val="white"/>
              </w:rPr>
            </w:r>
          </w:p>
          <w:p>
            <w:pPr>
              <w:jc w:val="right"/>
              <w:rPr>
                <w:rFonts w:cs="Times New Roman"/>
                <w:highlight w:val="white"/>
              </w:rPr>
            </w:pPr>
            <w:r>
              <w:rPr>
                <w:rFonts w:cs="Times New Roman"/>
                <w:highlight w:val="white"/>
              </w:rPr>
              <w:t xml:space="preserve">электронный адрес</w:t>
            </w:r>
            <w:r>
              <w:rPr>
                <w:rFonts w:cs="Times New Roman"/>
                <w:highlight w:val="white"/>
              </w:rPr>
              <w:t xml:space="preserve"> </w:t>
            </w:r>
            <w:r>
              <w:rPr>
                <w:rFonts w:cs="Times New Roman"/>
                <w:highlight w:val="white"/>
              </w:rPr>
              <w:t xml:space="preserve">_________________</w:t>
            </w:r>
            <w:r>
              <w:rPr>
                <w:rFonts w:cs="Times New Roman"/>
                <w:highlight w:val="white"/>
              </w:rPr>
            </w:r>
            <w:r>
              <w:rPr>
                <w:rFonts w:cs="Times New Roman"/>
                <w:highlight w:val="white"/>
              </w:rPr>
            </w:r>
          </w:p>
        </w:tc>
      </w:tr>
    </w:tbl>
    <w:p>
      <w:pPr>
        <w:rPr>
          <w:rFonts w:cs="Times New Roman"/>
          <w:highlight w:val="white"/>
        </w:rPr>
      </w:pP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</w:p>
    <w:p>
      <w:pPr>
        <w:rPr>
          <w:rFonts w:cs="Times New Roman"/>
          <w:szCs w:val="28"/>
          <w:highlight w:val="white"/>
        </w:rPr>
      </w:pP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</w:p>
    <w:p>
      <w:pPr>
        <w:rPr>
          <w:rFonts w:cs="Times New Roman"/>
          <w:szCs w:val="28"/>
          <w:highlight w:val="white"/>
        </w:rPr>
      </w:pP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</w:p>
    <w:p>
      <w:pPr>
        <w:rPr>
          <w:rFonts w:cs="Times New Roman"/>
          <w:szCs w:val="28"/>
          <w:highlight w:val="white"/>
        </w:rPr>
      </w:pP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</w:p>
    <w:p>
      <w:pPr>
        <w:rPr>
          <w:rFonts w:cs="Times New Roman"/>
          <w:szCs w:val="28"/>
          <w:highlight w:val="white"/>
        </w:rPr>
      </w:pP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</w:p>
    <w:p>
      <w:pPr>
        <w:rPr>
          <w:rFonts w:cs="Times New Roman"/>
          <w:szCs w:val="28"/>
          <w:highlight w:val="white"/>
        </w:rPr>
      </w:pP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</w:p>
    <w:p>
      <w:pPr>
        <w:jc w:val="center"/>
        <w:rPr>
          <w:rFonts w:cs="Times New Roman"/>
          <w:szCs w:val="28"/>
          <w:highlight w:val="white"/>
        </w:rPr>
      </w:pPr>
      <w:r>
        <w:rPr>
          <w:rFonts w:cs="Times New Roman"/>
          <w:szCs w:val="28"/>
          <w:highlight w:val="white"/>
        </w:rPr>
        <w:t xml:space="preserve">20__ год</w:t>
      </w: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</w:p>
    <w:tbl>
      <w:tblPr>
        <w:tblStyle w:val="840"/>
        <w:tblW w:w="0" w:type="auto"/>
        <w:tblLook w:val="04A0" w:firstRow="1" w:lastRow="0" w:firstColumn="1" w:lastColumn="0" w:noHBand="0" w:noVBand="1"/>
      </w:tblPr>
      <w:tblGrid>
        <w:gridCol w:w="636"/>
        <w:gridCol w:w="7694"/>
        <w:gridCol w:w="1701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6" w:type="dxa"/>
            <w:textDirection w:val="lrTb"/>
            <w:noWrap w:val="false"/>
          </w:tcPr>
          <w:p>
            <w:pPr>
              <w:pStyle w:val="841"/>
              <w:jc w:val="center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№ </w:t>
            </w:r>
            <w:r>
              <w:rPr>
                <w:sz w:val="28"/>
                <w:highlight w:val="white"/>
              </w:rPr>
              <w:t xml:space="preserve">п</w:t>
            </w:r>
            <w:r>
              <w:rPr>
                <w:sz w:val="28"/>
                <w:highlight w:val="white"/>
              </w:rPr>
              <w:t xml:space="preserve">/п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694" w:type="dxa"/>
            <w:textDirection w:val="lrTb"/>
            <w:noWrap w:val="false"/>
          </w:tcPr>
          <w:p>
            <w:pPr>
              <w:pStyle w:val="841"/>
              <w:jc w:val="center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Содержание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pStyle w:val="841"/>
              <w:jc w:val="center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Номер страницы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>
          <w:trHeight w:val="467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6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69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Введение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6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1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69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Раздел </w:t>
            </w:r>
            <w:r>
              <w:rPr>
                <w:sz w:val="28"/>
                <w:highlight w:val="white"/>
                <w:lang w:val="en-US"/>
              </w:rPr>
              <w:t xml:space="preserve">I</w:t>
            </w:r>
            <w:r>
              <w:rPr>
                <w:sz w:val="28"/>
                <w:highlight w:val="white"/>
              </w:rPr>
              <w:t xml:space="preserve">. </w:t>
            </w:r>
            <w:r>
              <w:rPr>
                <w:sz w:val="28"/>
                <w:highlight w:val="white"/>
              </w:rPr>
              <w:t xml:space="preserve">Паспорт П</w:t>
            </w:r>
            <w:r>
              <w:rPr>
                <w:sz w:val="28"/>
                <w:highlight w:val="white"/>
              </w:rPr>
              <w:t xml:space="preserve">рограммы развития вида спорта</w:t>
            </w:r>
            <w:r>
              <w:rPr>
                <w:sz w:val="28"/>
                <w:highlight w:val="white"/>
              </w:rPr>
              <w:t xml:space="preserve"> </w:t>
            </w:r>
            <w:r>
              <w:rPr>
                <w:sz w:val="28"/>
                <w:highlight w:val="white"/>
              </w:rPr>
              <w:t xml:space="preserve">в Новосибирской области </w:t>
            </w:r>
            <w:r>
              <w:rPr>
                <w:sz w:val="28"/>
                <w:highlight w:val="white"/>
              </w:rPr>
              <w:t xml:space="preserve">на 20__ - 20__ годы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6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2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69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Раздел </w:t>
            </w:r>
            <w:r>
              <w:rPr>
                <w:sz w:val="28"/>
                <w:highlight w:val="white"/>
                <w:lang w:val="en-US"/>
              </w:rPr>
              <w:t xml:space="preserve">II</w:t>
            </w:r>
            <w:r>
              <w:rPr>
                <w:sz w:val="28"/>
                <w:highlight w:val="white"/>
              </w:rPr>
              <w:t xml:space="preserve">. </w:t>
            </w:r>
            <w:r>
              <w:rPr>
                <w:sz w:val="28"/>
                <w:highlight w:val="white"/>
              </w:rPr>
              <w:t xml:space="preserve">Анализ состояния и перспективы развития вида спорта в Новосибирской области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6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2</w:t>
            </w:r>
            <w:r>
              <w:rPr>
                <w:sz w:val="28"/>
                <w:highlight w:val="white"/>
              </w:rPr>
              <w:t xml:space="preserve">.1.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69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Анализ состояния развития вида спорта</w:t>
            </w:r>
            <w:r>
              <w:rPr>
                <w:sz w:val="28"/>
                <w:highlight w:val="white"/>
              </w:rPr>
              <w:t xml:space="preserve"> </w:t>
            </w:r>
            <w:r>
              <w:rPr>
                <w:sz w:val="28"/>
                <w:highlight w:val="white"/>
              </w:rPr>
              <w:t xml:space="preserve">в Новосибирской области за предыдущие четыре года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6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2.2.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69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Перспективы </w:t>
            </w:r>
            <w:r>
              <w:rPr>
                <w:sz w:val="28"/>
                <w:highlight w:val="white"/>
              </w:rPr>
              <w:t xml:space="preserve">развития вида спорта в Новосибирской области на последующий четырехлетний период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6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2.3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69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Проблемы развития вида спорта в </w:t>
            </w:r>
            <w:r>
              <w:rPr>
                <w:sz w:val="28"/>
                <w:highlight w:val="white"/>
              </w:rPr>
              <w:t xml:space="preserve">Новосибирской области</w:t>
            </w:r>
            <w:r>
              <w:rPr>
                <w:sz w:val="28"/>
                <w:highlight w:val="white"/>
              </w:rPr>
              <w:t xml:space="preserve">,</w:t>
            </w:r>
            <w:r>
              <w:rPr>
                <w:sz w:val="28"/>
                <w:highlight w:val="white"/>
              </w:rPr>
              <w:t xml:space="preserve"> </w:t>
            </w:r>
            <w:r>
              <w:rPr>
                <w:sz w:val="28"/>
                <w:highlight w:val="white"/>
              </w:rPr>
              <w:t xml:space="preserve">их характеристика и анализ причин возникновения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6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3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69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Раздел </w:t>
            </w:r>
            <w:r>
              <w:rPr>
                <w:sz w:val="28"/>
                <w:highlight w:val="white"/>
                <w:lang w:val="en-US"/>
              </w:rPr>
              <w:t xml:space="preserve">III</w:t>
            </w:r>
            <w:r>
              <w:rPr>
                <w:sz w:val="28"/>
                <w:highlight w:val="white"/>
              </w:rPr>
              <w:t xml:space="preserve">. </w:t>
            </w:r>
            <w:r>
              <w:rPr>
                <w:sz w:val="28"/>
                <w:highlight w:val="white"/>
              </w:rPr>
              <w:t xml:space="preserve">Целевые показатели (индикаторы) деятельности региональной спортивной федерации по развитию </w:t>
            </w:r>
            <w:r>
              <w:rPr>
                <w:sz w:val="28"/>
                <w:highlight w:val="white"/>
              </w:rPr>
              <w:t xml:space="preserve">вида спорта</w:t>
            </w:r>
            <w:r>
              <w:rPr>
                <w:sz w:val="28"/>
                <w:highlight w:val="white"/>
              </w:rPr>
              <w:t xml:space="preserve"> в </w:t>
            </w:r>
            <w:r>
              <w:rPr>
                <w:sz w:val="28"/>
                <w:highlight w:val="white"/>
              </w:rPr>
              <w:t xml:space="preserve">Новосибирской области</w:t>
            </w:r>
            <w:r>
              <w:rPr>
                <w:sz w:val="28"/>
                <w:highlight w:val="white"/>
              </w:rPr>
              <w:t xml:space="preserve">, сроки и этапы реализации программы, основные ожидаемые результаты реализации </w:t>
            </w:r>
            <w:r>
              <w:rPr>
                <w:sz w:val="28"/>
                <w:highlight w:val="white"/>
              </w:rPr>
              <w:t xml:space="preserve">П</w:t>
            </w:r>
            <w:r>
              <w:rPr>
                <w:sz w:val="28"/>
                <w:highlight w:val="white"/>
              </w:rPr>
              <w:t xml:space="preserve">рограммы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6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3</w:t>
            </w:r>
            <w:r>
              <w:rPr>
                <w:sz w:val="28"/>
                <w:highlight w:val="white"/>
              </w:rPr>
              <w:t xml:space="preserve">.1.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69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Вовлечение населения в занятия видом спорта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6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3</w:t>
            </w:r>
            <w:r>
              <w:rPr>
                <w:sz w:val="28"/>
                <w:highlight w:val="white"/>
              </w:rPr>
              <w:t xml:space="preserve">.2.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69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Развитие спорта высших достижений и подготовка спортивного резерва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>
          <w:trHeight w:val="483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6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3</w:t>
            </w:r>
            <w:r>
              <w:rPr>
                <w:sz w:val="28"/>
                <w:highlight w:val="white"/>
              </w:rPr>
              <w:t xml:space="preserve">.3.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69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Кадровый потенциал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6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4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69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Раздел </w:t>
            </w:r>
            <w:r>
              <w:rPr>
                <w:sz w:val="28"/>
                <w:highlight w:val="white"/>
                <w:lang w:val="en-US"/>
              </w:rPr>
              <w:t xml:space="preserve">IV</w:t>
            </w:r>
            <w:r>
              <w:rPr>
                <w:sz w:val="28"/>
                <w:highlight w:val="white"/>
              </w:rPr>
              <w:t xml:space="preserve">. </w:t>
            </w:r>
            <w:r>
              <w:rPr>
                <w:sz w:val="28"/>
                <w:highlight w:val="white"/>
              </w:rPr>
              <w:t xml:space="preserve">Критерии формирования спортивной сборной команды </w:t>
            </w:r>
            <w:r>
              <w:rPr>
                <w:sz w:val="28"/>
                <w:highlight w:val="white"/>
              </w:rPr>
              <w:t xml:space="preserve">Новосибирской области</w:t>
            </w:r>
            <w:r>
              <w:rPr>
                <w:sz w:val="28"/>
                <w:highlight w:val="white"/>
              </w:rPr>
              <w:t xml:space="preserve"> по </w:t>
            </w:r>
            <w:r>
              <w:rPr>
                <w:sz w:val="28"/>
                <w:highlight w:val="white"/>
              </w:rPr>
              <w:t xml:space="preserve">виду</w:t>
            </w:r>
            <w:r>
              <w:rPr>
                <w:sz w:val="28"/>
                <w:highlight w:val="white"/>
              </w:rPr>
              <w:t xml:space="preserve"> спорта для подготовки к участию и участия в межрегиональных </w:t>
            </w:r>
            <w:r>
              <w:rPr>
                <w:sz w:val="28"/>
                <w:highlight w:val="white"/>
              </w:rPr>
              <w:br/>
              <w:t xml:space="preserve">и всероссийских официальных спортивных соревнованиях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36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5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69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  <w:t xml:space="preserve">Раздел </w:t>
            </w:r>
            <w:r>
              <w:rPr>
                <w:sz w:val="28"/>
                <w:highlight w:val="white"/>
                <w:lang w:val="en-US"/>
              </w:rPr>
              <w:t xml:space="preserve">V. </w:t>
            </w:r>
            <w:r>
              <w:rPr>
                <w:sz w:val="28"/>
                <w:highlight w:val="white"/>
              </w:rPr>
              <w:t xml:space="preserve">Перечень и описание основных программных мероприятий, сроки в</w:t>
            </w:r>
            <w:r>
              <w:rPr>
                <w:sz w:val="28"/>
                <w:highlight w:val="white"/>
              </w:rPr>
              <w:t xml:space="preserve">ыполнения по этапам реализации П</w:t>
            </w:r>
            <w:r>
              <w:rPr>
                <w:sz w:val="28"/>
                <w:highlight w:val="white"/>
              </w:rPr>
              <w:t xml:space="preserve">рограммы. Объемы и источники финансирования 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</w:tbl>
    <w:p>
      <w:pPr>
        <w:pStyle w:val="841"/>
        <w:jc w:val="both"/>
        <w:rPr>
          <w:rFonts w:cs="Times New Roman"/>
          <w:sz w:val="28"/>
          <w:szCs w:val="28"/>
          <w:highlight w:val="white"/>
        </w:rPr>
        <w:sectPr>
          <w:footnotePr/>
          <w:endnotePr/>
          <w:type w:val="nextPage"/>
          <w:pgSz w:w="11906" w:h="16838" w:orient="portrait"/>
          <w:pgMar w:top="1134" w:right="567" w:bottom="1134" w:left="1418" w:header="708" w:footer="708" w:gutter="0"/>
          <w:cols w:num="1" w:sep="0" w:space="708" w:equalWidth="1"/>
          <w:docGrid w:linePitch="360"/>
        </w:sectPr>
      </w:pP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  <w:r>
        <w:rPr>
          <w:rFonts w:cs="Times New Roman"/>
          <w:sz w:val="28"/>
          <w:szCs w:val="28"/>
          <w:highlight w:val="white"/>
        </w:rPr>
      </w:r>
    </w:p>
    <w:p>
      <w:pPr>
        <w:pStyle w:val="843"/>
        <w:rPr>
          <w:highlight w:val="white"/>
        </w:rPr>
      </w:pPr>
      <w:r>
        <w:rPr>
          <w:highlight w:val="white"/>
        </w:rPr>
        <w:t xml:space="preserve">Введение</w:t>
      </w:r>
      <w:r>
        <w:rPr>
          <w:highlight w:val="white"/>
        </w:rPr>
      </w:r>
    </w:p>
    <w:p>
      <w:pPr>
        <w:rPr>
          <w:rFonts w:cs="Times New Roman"/>
          <w:szCs w:val="24"/>
          <w:highlight w:val="white"/>
        </w:rPr>
      </w:pPr>
      <w:r>
        <w:rPr>
          <w:rFonts w:cs="Times New Roman"/>
          <w:szCs w:val="24"/>
          <w:highlight w:val="white"/>
        </w:rPr>
        <w:t xml:space="preserve">Программа развития вида спорта _________________ в Новосибирской области до </w:t>
      </w:r>
      <w:r>
        <w:rPr>
          <w:rFonts w:cs="Times New Roman"/>
          <w:szCs w:val="24"/>
          <w:highlight w:val="white"/>
        </w:rPr>
        <w:t xml:space="preserve">на 20__ - 20__ годы (далее – Программа) </w:t>
      </w:r>
      <w:r>
        <w:rPr>
          <w:rFonts w:cs="Times New Roman"/>
          <w:szCs w:val="24"/>
          <w:highlight w:val="white"/>
        </w:rPr>
        <w:t xml:space="preserve">разработана региональной спортивной федерацией _______________ (далее – Федерация) </w:t>
      </w:r>
      <w:r>
        <w:rPr>
          <w:rFonts w:cs="Times New Roman"/>
          <w:szCs w:val="24"/>
          <w:highlight w:val="white"/>
        </w:rPr>
        <w:t xml:space="preserve">в соответствии с пунктом 5 части  2 статьи 16 Федерального закона от</w:t>
      </w:r>
      <w:r>
        <w:rPr>
          <w:rFonts w:cs="Times New Roman"/>
          <w:szCs w:val="24"/>
          <w:highlight w:val="white"/>
        </w:rPr>
        <w:t xml:space="preserve"> 4 декабря 2007 года № 329-ФЗ «О физической культуре и спорте в Российской Федерации», Порядком разработки и представления региональными спортивными федерациями Новосибирской области программ развития соответствующих видов спорта в  министерство физической</w:t>
      </w:r>
      <w:r>
        <w:rPr>
          <w:rFonts w:cs="Times New Roman"/>
          <w:szCs w:val="24"/>
          <w:highlight w:val="white"/>
        </w:rPr>
        <w:t xml:space="preserve"> культуры и спорта Новосибирской области, утвержденным приказом министерства от 17.01.2022 № 26.</w:t>
      </w:r>
      <w:r>
        <w:rPr>
          <w:rFonts w:cs="Times New Roman"/>
          <w:szCs w:val="24"/>
          <w:highlight w:val="white"/>
        </w:rPr>
      </w:r>
      <w:r>
        <w:rPr>
          <w:rFonts w:cs="Times New Roman"/>
          <w:szCs w:val="24"/>
          <w:highlight w:val="white"/>
        </w:rPr>
      </w:r>
    </w:p>
    <w:p>
      <w:pPr>
        <w:pStyle w:val="845"/>
        <w:ind w:firstLine="709"/>
        <w:jc w:val="both"/>
        <w:rPr>
          <w:rFonts w:ascii="Times New Roman" w:hAnsi="Times New Roman" w:cs="Times New Roman" w:eastAsiaTheme="minorHAnsi"/>
          <w:sz w:val="28"/>
          <w:szCs w:val="24"/>
          <w:highlight w:val="white"/>
        </w:rPr>
      </w:pPr>
      <w:r>
        <w:rPr>
          <w:rFonts w:ascii="Times New Roman" w:hAnsi="Times New Roman" w:cs="Times New Roman" w:eastAsiaTheme="minorHAnsi"/>
          <w:sz w:val="28"/>
          <w:szCs w:val="24"/>
          <w:highlight w:val="white"/>
          <w:lang w:eastAsia="en-US"/>
        </w:rPr>
        <w:t xml:space="preserve">При разработке Программы учитывались российский и передовой зарубежный опыт развития вида спорта.</w:t>
      </w:r>
      <w:r>
        <w:rPr>
          <w:rFonts w:ascii="Times New Roman" w:hAnsi="Times New Roman" w:cs="Times New Roman" w:eastAsiaTheme="minorHAnsi"/>
          <w:sz w:val="28"/>
          <w:szCs w:val="24"/>
          <w:highlight w:val="white"/>
          <w:lang w:eastAsia="en-US"/>
        </w:rPr>
      </w:r>
      <w:r>
        <w:rPr>
          <w:rFonts w:ascii="Times New Roman" w:hAnsi="Times New Roman" w:cs="Times New Roman" w:eastAsiaTheme="minorHAnsi"/>
          <w:sz w:val="28"/>
          <w:szCs w:val="24"/>
          <w:highlight w:val="white"/>
        </w:rPr>
      </w:r>
    </w:p>
    <w:p>
      <w:pPr>
        <w:pStyle w:val="845"/>
        <w:ind w:firstLine="709"/>
        <w:jc w:val="both"/>
        <w:rPr>
          <w:rFonts w:ascii="Times New Roman" w:hAnsi="Times New Roman" w:cs="Times New Roman" w:eastAsiaTheme="minorHAnsi"/>
          <w:sz w:val="28"/>
          <w:szCs w:val="24"/>
          <w:highlight w:val="white"/>
        </w:rPr>
      </w:pPr>
      <w:r>
        <w:rPr>
          <w:rFonts w:ascii="Times New Roman" w:hAnsi="Times New Roman" w:cs="Times New Roman" w:eastAsiaTheme="minorHAnsi"/>
          <w:sz w:val="28"/>
          <w:szCs w:val="24"/>
          <w:highlight w:val="white"/>
          <w:lang w:eastAsia="en-US"/>
        </w:rPr>
        <w:t xml:space="preserve">Программа является основным (директивным) документом, определяющим стратегию (цели, задачи), увязанным по срокам, средствам и методам реализации мероприятий, обеспечивающим решение приоритетных задач развития вида спорта ______________________ в </w:t>
      </w:r>
      <w:r>
        <w:rPr>
          <w:rFonts w:ascii="Times New Roman" w:hAnsi="Times New Roman" w:cs="Times New Roman" w:eastAsiaTheme="minorHAnsi"/>
          <w:sz w:val="28"/>
          <w:szCs w:val="24"/>
          <w:highlight w:val="white"/>
          <w:lang w:eastAsia="en-US"/>
        </w:rPr>
        <w:t xml:space="preserve">Новосибирской области</w:t>
      </w:r>
      <w:r>
        <w:rPr>
          <w:rFonts w:ascii="Times New Roman" w:hAnsi="Times New Roman" w:cs="Times New Roman" w:eastAsiaTheme="minorHAnsi"/>
          <w:sz w:val="28"/>
          <w:szCs w:val="24"/>
          <w:highlight w:val="white"/>
          <w:lang w:eastAsia="en-US"/>
        </w:rPr>
        <w:t xml:space="preserve">,</w:t>
      </w:r>
      <w:r>
        <w:rPr>
          <w:rFonts w:ascii="Times New Roman" w:hAnsi="Times New Roman" w:cs="Times New Roman"/>
          <w:sz w:val="28"/>
          <w:szCs w:val="24"/>
          <w:highlight w:val="white"/>
        </w:rPr>
        <w:t xml:space="preserve"> включая подготовку кандидатов в спортивную сборную команду </w:t>
      </w:r>
      <w:r>
        <w:rPr>
          <w:rFonts w:ascii="Times New Roman" w:hAnsi="Times New Roman" w:cs="Times New Roman"/>
          <w:sz w:val="28"/>
          <w:szCs w:val="24"/>
          <w:highlight w:val="white"/>
        </w:rPr>
        <w:t xml:space="preserve">Новосибирской области</w:t>
      </w:r>
      <w:r>
        <w:rPr>
          <w:rFonts w:ascii="Times New Roman" w:hAnsi="Times New Roman" w:cs="Times New Roman"/>
          <w:sz w:val="28"/>
          <w:szCs w:val="24"/>
          <w:highlight w:val="white"/>
        </w:rPr>
        <w:t xml:space="preserve"> по соответствующему виду спорта к официальным межрегиональным и всероссийским соревнованиям.</w:t>
      </w:r>
      <w:r>
        <w:rPr>
          <w:rFonts w:ascii="Times New Roman" w:hAnsi="Times New Roman" w:cs="Times New Roman" w:eastAsiaTheme="minorHAnsi"/>
          <w:sz w:val="28"/>
          <w:szCs w:val="24"/>
          <w:highlight w:val="white"/>
          <w:lang w:eastAsia="en-US"/>
        </w:rPr>
      </w:r>
      <w:r>
        <w:rPr>
          <w:rFonts w:ascii="Times New Roman" w:hAnsi="Times New Roman" w:cs="Times New Roman" w:eastAsiaTheme="minorHAnsi"/>
          <w:sz w:val="28"/>
          <w:szCs w:val="24"/>
          <w:highlight w:val="white"/>
        </w:rPr>
      </w:r>
    </w:p>
    <w:p>
      <w:pPr>
        <w:pStyle w:val="845"/>
        <w:ind w:firstLine="709"/>
        <w:jc w:val="both"/>
        <w:rPr>
          <w:rFonts w:ascii="Times New Roman" w:hAnsi="Times New Roman" w:cs="Times New Roman"/>
          <w:sz w:val="28"/>
          <w:szCs w:val="24"/>
          <w:highlight w:val="white"/>
        </w:rPr>
      </w:pPr>
      <w:r>
        <w:rPr>
          <w:rFonts w:ascii="Times New Roman" w:hAnsi="Times New Roman" w:cs="Times New Roman"/>
          <w:sz w:val="28"/>
          <w:szCs w:val="24"/>
          <w:highlight w:val="white"/>
        </w:rPr>
        <w:t xml:space="preserve">Ход и результаты реализации Программы рассматриваются на заседаниях руководящих органов региональных спортивных Федераций, а также соответствующими подразделениями министерства физической культуры </w:t>
      </w:r>
      <w:r>
        <w:rPr>
          <w:rFonts w:ascii="Times New Roman" w:hAnsi="Times New Roman" w:cs="Times New Roman"/>
          <w:sz w:val="28"/>
          <w:szCs w:val="24"/>
          <w:highlight w:val="white"/>
        </w:rPr>
        <w:t xml:space="preserve">и спорта Новосибирской области.</w:t>
      </w:r>
      <w:r>
        <w:rPr>
          <w:rFonts w:ascii="Times New Roman" w:hAnsi="Times New Roman" w:cs="Times New Roman"/>
          <w:sz w:val="28"/>
          <w:szCs w:val="24"/>
          <w:highlight w:val="white"/>
        </w:rPr>
      </w:r>
      <w:r>
        <w:rPr>
          <w:rFonts w:ascii="Times New Roman" w:hAnsi="Times New Roman" w:cs="Times New Roman"/>
          <w:sz w:val="28"/>
          <w:szCs w:val="24"/>
          <w:highlight w:val="white"/>
        </w:rPr>
      </w:r>
    </w:p>
    <w:p>
      <w:pPr>
        <w:pStyle w:val="845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4"/>
          <w:highlight w:val="white"/>
        </w:rPr>
        <w:t xml:space="preserve">Р</w:t>
      </w:r>
      <w:r>
        <w:rPr>
          <w:rFonts w:ascii="Times New Roman" w:hAnsi="Times New Roman" w:cs="Times New Roman"/>
          <w:sz w:val="28"/>
          <w:szCs w:val="24"/>
          <w:highlight w:val="white"/>
        </w:rPr>
        <w:t xml:space="preserve">егулярный контроль выполнения намеченных мероприятий, проведение обобщенного анализа полученных данных позволит, в случае необходимости, своевременно корректировать Программу.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845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К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раткая характеристика современного состояния вида спорта и его спортивных дисциплин, признанных в Российской Федерации и включенных во Всероссийский реестр видов спорта.</w:t>
      </w:r>
      <w:r>
        <w:rPr>
          <w:highlight w:val="white"/>
        </w:rPr>
      </w:r>
      <w:r>
        <w:rPr>
          <w:highlight w:val="white"/>
        </w:rPr>
      </w:r>
    </w:p>
    <w:p>
      <w:pPr>
        <w:pStyle w:val="845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К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раткая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информационная справка о Федерации, в том числе указание на членство в общероссийской спортивной федерации и участие членов Федерации в работе технических и (или) руководящих органов общероссийской (международной) спортивной федерации.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845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Краткая историческая справка о развитии вида спорта в мире, Российской Федерации или ссылку на источники опубликования указанной информации (по желанию).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845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845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4"/>
          <w:highlight w:val="white"/>
        </w:rPr>
      </w:r>
      <w:r>
        <w:rPr>
          <w:rFonts w:ascii="Times New Roman" w:hAnsi="Times New Roman" w:cs="Times New Roman"/>
          <w:sz w:val="28"/>
          <w:szCs w:val="24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845"/>
        <w:ind w:firstLine="709"/>
        <w:jc w:val="both"/>
        <w:rPr>
          <w:rFonts w:ascii="Times New Roman" w:hAnsi="Times New Roman" w:cs="Times New Roman" w:eastAsiaTheme="minorHAnsi"/>
          <w:sz w:val="28"/>
          <w:szCs w:val="24"/>
          <w:highlight w:val="white"/>
        </w:rPr>
      </w:pPr>
      <w:r>
        <w:rPr>
          <w:rFonts w:ascii="Times New Roman" w:hAnsi="Times New Roman" w:cs="Times New Roman" w:eastAsiaTheme="minorHAnsi"/>
          <w:sz w:val="28"/>
          <w:szCs w:val="24"/>
          <w:highlight w:val="white"/>
          <w:lang w:eastAsia="en-US"/>
        </w:rPr>
      </w:r>
      <w:r>
        <w:rPr>
          <w:rFonts w:ascii="Times New Roman" w:hAnsi="Times New Roman" w:cs="Times New Roman" w:eastAsiaTheme="minorHAnsi"/>
          <w:sz w:val="28"/>
          <w:szCs w:val="24"/>
          <w:highlight w:val="white"/>
          <w:lang w:eastAsia="en-US"/>
        </w:rPr>
      </w:r>
      <w:r>
        <w:rPr>
          <w:rFonts w:ascii="Times New Roman" w:hAnsi="Times New Roman" w:cs="Times New Roman" w:eastAsiaTheme="minorHAnsi"/>
          <w:sz w:val="28"/>
          <w:szCs w:val="24"/>
          <w:highlight w:val="white"/>
        </w:rPr>
      </w:r>
    </w:p>
    <w:p>
      <w:pPr>
        <w:pStyle w:val="845"/>
        <w:ind w:firstLine="709"/>
        <w:jc w:val="both"/>
        <w:rPr>
          <w:rFonts w:ascii="Times New Roman" w:hAnsi="Times New Roman" w:cs="Times New Roman" w:eastAsiaTheme="minorHAnsi"/>
          <w:sz w:val="28"/>
          <w:szCs w:val="24"/>
          <w:highlight w:val="white"/>
        </w:rPr>
        <w:sectPr>
          <w:footnotePr/>
          <w:endnotePr/>
          <w:type w:val="nextPage"/>
          <w:pgSz w:w="11906" w:h="16838" w:orient="portrait"/>
          <w:pgMar w:top="1134" w:right="567" w:bottom="1134" w:left="1418" w:header="708" w:footer="708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 w:eastAsiaTheme="minorHAnsi"/>
          <w:sz w:val="28"/>
          <w:szCs w:val="24"/>
          <w:highlight w:val="white"/>
          <w:lang w:eastAsia="en-US"/>
        </w:rPr>
      </w:r>
      <w:r>
        <w:rPr>
          <w:rFonts w:ascii="Times New Roman" w:hAnsi="Times New Roman" w:cs="Times New Roman" w:eastAsiaTheme="minorHAnsi"/>
          <w:sz w:val="28"/>
          <w:szCs w:val="24"/>
          <w:highlight w:val="white"/>
          <w:lang w:eastAsia="en-US"/>
        </w:rPr>
      </w:r>
      <w:r>
        <w:rPr>
          <w:rFonts w:ascii="Times New Roman" w:hAnsi="Times New Roman" w:cs="Times New Roman" w:eastAsiaTheme="minorHAnsi"/>
          <w:sz w:val="28"/>
          <w:szCs w:val="24"/>
          <w:highlight w:val="white"/>
        </w:rPr>
      </w:r>
    </w:p>
    <w:p>
      <w:pPr>
        <w:pStyle w:val="843"/>
        <w:numPr>
          <w:ilvl w:val="0"/>
          <w:numId w:val="1"/>
        </w:numPr>
        <w:rPr>
          <w:rFonts w:cs="Times New Roman"/>
          <w:szCs w:val="28"/>
          <w:highlight w:val="white"/>
        </w:rPr>
      </w:pPr>
      <w:r>
        <w:rPr>
          <w:rFonts w:cs="Times New Roman"/>
          <w:szCs w:val="28"/>
          <w:highlight w:val="white"/>
        </w:rPr>
        <w:t xml:space="preserve">Паспорт Программы развития вида спорта в Новосибирской области </w:t>
      </w:r>
      <w:r>
        <w:rPr>
          <w:rFonts w:cs="Times New Roman"/>
          <w:szCs w:val="28"/>
          <w:highlight w:val="white"/>
        </w:rPr>
        <w:t xml:space="preserve">на 20__ - 20__ годы</w:t>
      </w: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</w:p>
    <w:tbl>
      <w:tblPr>
        <w:tblW w:w="9768" w:type="dxa"/>
        <w:jc w:val="center"/>
        <w:tblInd w:w="-147" w:type="dxa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33"/>
        <w:gridCol w:w="3234"/>
        <w:gridCol w:w="5901"/>
      </w:tblGrid>
      <w:tr>
        <w:tblPrEx/>
        <w:trPr>
          <w:jc w:val="center"/>
          <w:trHeight w:val="648"/>
        </w:trPr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633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1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323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Наименование Программы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59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>
          <w:jc w:val="center"/>
          <w:trHeight w:val="648"/>
        </w:trPr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633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2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323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Наименование </w:t>
            </w:r>
            <w:r>
              <w:rPr>
                <w:sz w:val="28"/>
                <w:highlight w:val="white"/>
              </w:rPr>
              <w:t xml:space="preserve">Ф</w:t>
            </w:r>
            <w:r>
              <w:rPr>
                <w:sz w:val="28"/>
                <w:highlight w:val="white"/>
              </w:rPr>
              <w:t xml:space="preserve">едерации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59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>
          <w:jc w:val="center"/>
          <w:trHeight w:val="1458"/>
        </w:trPr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633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3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323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Реквизиты решения руководящего органа </w:t>
            </w:r>
            <w:r>
              <w:rPr>
                <w:sz w:val="28"/>
                <w:highlight w:val="white"/>
              </w:rPr>
              <w:t xml:space="preserve">Федерации об утверждении Программы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59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>
          <w:jc w:val="center"/>
          <w:trHeight w:val="533"/>
        </w:trPr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633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4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323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Цель Программы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59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>
          <w:jc w:val="center"/>
          <w:trHeight w:val="541"/>
        </w:trPr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633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5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323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Задачи Программы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59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>
          <w:jc w:val="center"/>
          <w:trHeight w:val="541"/>
        </w:trPr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633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6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323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Ц</w:t>
            </w:r>
            <w:r>
              <w:rPr>
                <w:sz w:val="28"/>
                <w:highlight w:val="white"/>
              </w:rPr>
              <w:t xml:space="preserve">елевые показатели деятельности Ф</w:t>
            </w:r>
            <w:r>
              <w:rPr>
                <w:sz w:val="28"/>
                <w:highlight w:val="white"/>
              </w:rPr>
              <w:t xml:space="preserve">едерации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59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>
          <w:jc w:val="center"/>
          <w:trHeight w:val="820"/>
        </w:trPr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633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7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323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Объемы и источники финансирования 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59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>
          <w:jc w:val="center"/>
          <w:trHeight w:val="820"/>
        </w:trPr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633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8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323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Ожидаемые результаты реализации Программы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59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>
          <w:jc w:val="center"/>
          <w:trHeight w:val="820"/>
        </w:trPr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633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9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323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Механизм реализации Программы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59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>
          <w:jc w:val="center"/>
          <w:trHeight w:val="821"/>
        </w:trPr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633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10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3234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Срок и этапы реализации Программы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59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  <w:tr>
        <w:tblPrEx/>
        <w:trPr>
          <w:jc w:val="center"/>
          <w:trHeight w:val="821"/>
        </w:trPr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633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 xml:space="preserve">11</w:t>
            </w:r>
            <w:r>
              <w:rPr>
                <w:sz w:val="28"/>
                <w:highlight w:val="white"/>
              </w:rPr>
              <w:t xml:space="preserve">.</w:t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3234" w:type="dxa"/>
            <w:textDirection w:val="lrTb"/>
            <w:noWrap w:val="false"/>
          </w:tcPr>
          <w:p>
            <w:pPr>
              <w:pStyle w:val="841"/>
              <w:rPr>
                <w:sz w:val="28"/>
                <w:szCs w:val="28"/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Контрольные мероприятия по реализации Программы развития</w:t>
            </w:r>
            <w:r>
              <w:rPr>
                <w:sz w:val="28"/>
                <w:szCs w:val="28"/>
                <w:highlight w:val="white"/>
              </w:rPr>
            </w:r>
            <w:r>
              <w:rPr>
                <w:sz w:val="28"/>
                <w:szCs w:val="28"/>
                <w:highlight w:val="white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80" w:type="dxa"/>
              <w:top w:w="80" w:type="dxa"/>
              <w:right w:w="80" w:type="dxa"/>
              <w:bottom w:w="80" w:type="dxa"/>
            </w:tcMar>
            <w:tcW w:w="5901" w:type="dxa"/>
            <w:textDirection w:val="lrTb"/>
            <w:noWrap w:val="false"/>
          </w:tcPr>
          <w:p>
            <w:pPr>
              <w:pStyle w:val="841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  <w:r>
              <w:rPr>
                <w:sz w:val="28"/>
                <w:highlight w:val="white"/>
              </w:rPr>
            </w:r>
          </w:p>
        </w:tc>
      </w:tr>
    </w:tbl>
    <w:p>
      <w:pPr>
        <w:rPr>
          <w:rFonts w:cs="Times New Roman"/>
          <w:highlight w:val="white"/>
        </w:rPr>
      </w:pP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</w:p>
    <w:p>
      <w:pPr>
        <w:rPr>
          <w:rFonts w:cs="Times New Roman"/>
          <w:highlight w:val="white"/>
        </w:rPr>
        <w:sectPr>
          <w:footnotePr/>
          <w:endnotePr/>
          <w:type w:val="nextPage"/>
          <w:pgSz w:w="11906" w:h="16838" w:orient="portrait"/>
          <w:pgMar w:top="1134" w:right="567" w:bottom="1134" w:left="1418" w:header="708" w:footer="708" w:gutter="0"/>
          <w:cols w:num="1" w:sep="0" w:space="708" w:equalWidth="1"/>
          <w:docGrid w:linePitch="360"/>
        </w:sectPr>
      </w:pP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</w:p>
    <w:p>
      <w:pPr>
        <w:pStyle w:val="843"/>
        <w:numPr>
          <w:ilvl w:val="0"/>
          <w:numId w:val="1"/>
        </w:numPr>
        <w:rPr>
          <w:rFonts w:cs="Times New Roman"/>
          <w:szCs w:val="28"/>
          <w:highlight w:val="white"/>
        </w:rPr>
      </w:pPr>
      <w:r>
        <w:rPr>
          <w:rFonts w:cs="Times New Roman"/>
          <w:szCs w:val="28"/>
          <w:highlight w:val="white"/>
        </w:rPr>
        <w:t xml:space="preserve">Анализ состояния и перспективы развития вида спорта в Новосибирской области</w:t>
      </w: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</w:p>
    <w:p>
      <w:pPr>
        <w:pStyle w:val="843"/>
        <w:rPr>
          <w:highlight w:val="white"/>
        </w:rPr>
      </w:pPr>
      <w:r>
        <w:rPr>
          <w:highlight w:val="white"/>
        </w:rPr>
        <w:t xml:space="preserve">2.1.</w:t>
      </w:r>
      <w:r>
        <w:rPr>
          <w:highlight w:val="white"/>
        </w:rPr>
        <w:t xml:space="preserve"> </w:t>
      </w:r>
      <w:r>
        <w:rPr>
          <w:highlight w:val="white"/>
        </w:rPr>
        <w:t xml:space="preserve">Анализ состояния развития вида спорта в Новосибирской области за предыдущие четыре года</w:t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Подраздел должен включать следующие сведения: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а</w:t>
      </w:r>
      <w:r>
        <w:rPr>
          <w:highlight w:val="white"/>
        </w:rPr>
        <w:t xml:space="preserve">) динамика численности занимающихся видом спорта. В данном подразделе необходимо отразить сведения о количестве занимающихся в физкультурно-спортивных организациях, в том числе осуществляющих спортивную подготовку, и их количество, в физкультурно-спортивны</w:t>
      </w:r>
      <w:r>
        <w:rPr>
          <w:highlight w:val="white"/>
        </w:rPr>
        <w:t xml:space="preserve">х</w:t>
      </w:r>
      <w:r>
        <w:rPr>
          <w:highlight w:val="white"/>
        </w:rPr>
        <w:t xml:space="preserve"> организациях в организационно-правовой форме общественной организации или общественно-государственной организации и их количество и в организациях, осуществляющих образовательную деятельность, и их количество. Сведения необходимо отражать в динамике по го</w:t>
      </w:r>
      <w:r>
        <w:rPr>
          <w:highlight w:val="white"/>
        </w:rPr>
        <w:t xml:space="preserve">дам реализации Программы;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б) динамика количества тренеров (тренеров-преподавателей) в Новосибирской области, занимающих штатные должности;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в) динамика количества спортивных судей, имеющих квалификационную категорию спортивного судьи по виду спорта;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г) количество мероприятий по пропаганде и популяризации вида спорта: реализованных проектов; сведений о работе со средствами массовой информации (далее - СМИ), частоте цитирования в СМИ, социальных сетях;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д</w:t>
      </w:r>
      <w:r>
        <w:rPr>
          <w:highlight w:val="white"/>
        </w:rPr>
        <w:t xml:space="preserve">) количество физкультурных мероприятий среди различных групп и категорий населения, проведенных Федерацией или при содействии Федерации, а также совместно со структурными подразделениями федеральных органов исполнительной власти, осуществляющих руководство</w:t>
      </w:r>
      <w:r>
        <w:rPr>
          <w:highlight w:val="white"/>
        </w:rPr>
        <w:t xml:space="preserve"> развитием военно-прикладных и служебно-прикладных видов спорта, общественно-государственными организациями, корпорациями</w:t>
      </w:r>
      <w:r>
        <w:rPr>
          <w:rStyle w:val="849"/>
          <w:highlight w:val="white"/>
        </w:rPr>
        <w:footnoteReference w:id="2"/>
      </w:r>
      <w:r>
        <w:rPr>
          <w:highlight w:val="white"/>
        </w:rPr>
        <w:t xml:space="preserve">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е</w:t>
      </w:r>
      <w:r>
        <w:rPr>
          <w:highlight w:val="white"/>
        </w:rPr>
        <w:t xml:space="preserve">) динамика количества физкультурно-спортивных организаций, в том числе физкультурно-спортивных клубов по месту жительства или по месту работы, осуществляющих деятельность на территории Новосибирской области, и которые осуществляют работу по организации зан</w:t>
      </w:r>
      <w:r>
        <w:rPr>
          <w:highlight w:val="white"/>
        </w:rPr>
        <w:t xml:space="preserve">ятий видом спорта, включая анализ взаимодействия с такими организациями;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ж</w:t>
      </w:r>
      <w:r>
        <w:rPr>
          <w:highlight w:val="white"/>
        </w:rPr>
        <w:t xml:space="preserve">) динамика и уровень обеспеченности объектами спорта исходя из их единовременной пропускной способности или инфраструктурой, достаточной для эффективной и безопасной организации тренировочного и соревновательного процесса, в том числе потребность в создани</w:t>
      </w:r>
      <w:r>
        <w:rPr>
          <w:highlight w:val="white"/>
        </w:rPr>
        <w:t xml:space="preserve">и спортивной инфраструктуры;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з) динамика количества спортсменов, имеющих спортивные звания и спортивные разряды;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и) динамика количества лиц, проходящих спортивную подготовку;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к) динамика количества спортсменов, тренеров и иных специалистов, включенных в списки кандидатов в спортивные сборные команды Российской Федерации по виду спорта;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л) динамика количества спортсменов, участвовавших в составах спортивных сборных команд Российской Федерации по виду спорта в международных официальных спортивных соревнованиях;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м) динамика количества спортсменов, участвовавших в составе спортивных сборных команд Новосибирской области в межрегиональных и всероссийских официальных спортивных соревнованиях, ставших призерами указанных соревнований;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н) динамика результатов выступлений спортсменов на официальных спортивных соревнованиях различного статуса, в том числе медали (места), завоеванные спортсменами</w:t>
      </w:r>
      <w:r>
        <w:rPr>
          <w:rStyle w:val="849"/>
          <w:highlight w:val="white"/>
        </w:rPr>
        <w:footnoteReference w:id="3"/>
      </w:r>
      <w:r>
        <w:rPr>
          <w:rStyle w:val="849"/>
          <w:highlight w:val="white"/>
          <w:vertAlign w:val="baseline"/>
        </w:rPr>
        <w:t xml:space="preserve">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о</w:t>
      </w:r>
      <w:r>
        <w:rPr>
          <w:highlight w:val="white"/>
        </w:rPr>
        <w:t xml:space="preserve">) количество спортивных мероприятий, проведенных Федерацией. В обязательном порядке указывается статус спортивных мероприятий, подлежащих обязательному ежегодному включению в планы спортивных мероприятий Новосибирской области в каждой возрастной группе в с</w:t>
      </w:r>
      <w:r>
        <w:rPr>
          <w:highlight w:val="white"/>
        </w:rPr>
        <w:t xml:space="preserve">о</w:t>
      </w:r>
      <w:r>
        <w:rPr>
          <w:highlight w:val="white"/>
        </w:rPr>
        <w:t xml:space="preserve">ответствии с распоряжением Правительства Российской Федерации от 24.11.2015 N 2390-р (чемпионат, первенство Новосибирской области), а также другие официальные спортивные соревнования, являющиеся отборочными на чемпионат или первенство федерального округа, </w:t>
      </w:r>
      <w:r>
        <w:rPr>
          <w:highlight w:val="white"/>
        </w:rPr>
        <w:t xml:space="preserve">или официальные всероссийские спортивные соревнования, чемпионат или первенство муниципального образования Новосибирской области (образований), являющиеся отборочными на чемпионат или первенство Новосибирской области.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В</w:t>
      </w:r>
      <w:r>
        <w:rPr>
          <w:highlight w:val="white"/>
        </w:rPr>
        <w:t xml:space="preserve"> анализе необходимо отразить сложившуюся систему спортивных соревнований по всем возрастным группам, динамику количества участников соревнований по спортивным дисциплинам. В случае, если чемпионат или первенство муниципального образования Новосибирской обл</w:t>
      </w:r>
      <w:r>
        <w:rPr>
          <w:highlight w:val="white"/>
        </w:rPr>
        <w:t xml:space="preserve">асти (образований) не проводится, указать причину;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п) количество межрегиональных, всероссийских, международных спортивных мероприятий по виду спорта, проведенных на территории Новосибирской области</w:t>
      </w:r>
      <w:r>
        <w:rPr>
          <w:rStyle w:val="849"/>
          <w:highlight w:val="white"/>
        </w:rPr>
        <w:footnoteReference w:id="4"/>
      </w:r>
      <w:r>
        <w:rPr>
          <w:highlight w:val="white"/>
        </w:rPr>
        <w:t xml:space="preserve">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р) количество нарушений антидопинговых правил, санкции, примененные к спортсменам, включенным в списки кандидатов в спортивные сборные команды Новосибирской области по виду спорта, признанным нарушившими антидопинговые правила;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с) сведения о мероприятиях, направленных на предотвращение допинга в спорте и борьбу с ним, включая количество и перечень таких мероприятий, а также актуализации информации, размещаемой на интернет-сайте Федерации;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т</w:t>
      </w:r>
      <w:r>
        <w:rPr>
          <w:highlight w:val="white"/>
        </w:rPr>
        <w:t xml:space="preserve">) достижение целевых показателей реализации Программы (за исключением программ, которые представляются впервые), синхронизированных с целями и задачами, установленными общероссийской спортивной федерацией, по развитию вида спорта. Достижение целевых показа</w:t>
      </w:r>
      <w:r>
        <w:rPr>
          <w:highlight w:val="white"/>
        </w:rPr>
        <w:t xml:space="preserve">телей оформляется в виде таблицы по годам.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</w:r>
      <w:r>
        <w:rPr>
          <w:highlight w:val="white"/>
        </w:rPr>
      </w:r>
    </w:p>
    <w:p>
      <w:pPr>
        <w:pStyle w:val="843"/>
        <w:rPr>
          <w:highlight w:val="white"/>
        </w:rPr>
      </w:pPr>
      <w:r>
        <w:rPr>
          <w:highlight w:val="white"/>
        </w:rPr>
        <w:t xml:space="preserve">2.2. Перспективы развития вида спорта в Новосибирской области на последующий четырехлетний период</w:t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На основе анализа состояния развития вида спорта в Новосибирской области за предыдущие четыре года описать </w:t>
      </w:r>
      <w:r>
        <w:rPr>
          <w:highlight w:val="white"/>
        </w:rPr>
        <w:t xml:space="preserve">перспективы развития вида спорта в Новосибирской области на последующий четырехлетний период</w:t>
      </w:r>
      <w:r>
        <w:rPr>
          <w:highlight w:val="white"/>
        </w:rPr>
        <w:t xml:space="preserve">.</w:t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</w:r>
      <w:r>
        <w:rPr>
          <w:highlight w:val="white"/>
        </w:rPr>
      </w:r>
    </w:p>
    <w:p>
      <w:pPr>
        <w:pStyle w:val="843"/>
        <w:rPr>
          <w:highlight w:val="white"/>
        </w:rPr>
      </w:pPr>
      <w:r>
        <w:rPr>
          <w:highlight w:val="white"/>
        </w:rPr>
        <w:t xml:space="preserve">2.</w:t>
      </w:r>
      <w:r>
        <w:rPr>
          <w:highlight w:val="white"/>
        </w:rPr>
        <w:t xml:space="preserve">3</w:t>
      </w:r>
      <w:r>
        <w:rPr>
          <w:highlight w:val="white"/>
        </w:rPr>
        <w:t xml:space="preserve">.</w:t>
      </w:r>
      <w:r>
        <w:rPr>
          <w:highlight w:val="white"/>
        </w:rPr>
        <w:t xml:space="preserve"> </w:t>
      </w:r>
      <w:r>
        <w:rPr>
          <w:highlight w:val="white"/>
        </w:rPr>
        <w:t xml:space="preserve">Проблемы развития вида спорта в Новосибирской области, их характеристика и анализ причин возникновения</w:t>
      </w:r>
      <w:r>
        <w:rPr>
          <w:highlight w:val="white"/>
        </w:rPr>
      </w:r>
    </w:p>
    <w:p>
      <w:pPr>
        <w:spacing w:line="276" w:lineRule="auto"/>
        <w:rPr>
          <w:rFonts w:cs="Times New Roman"/>
          <w:szCs w:val="28"/>
          <w:highlight w:val="white"/>
        </w:rPr>
      </w:pPr>
      <w:r>
        <w:rPr>
          <w:rFonts w:cs="Times New Roman"/>
          <w:szCs w:val="28"/>
          <w:highlight w:val="white"/>
        </w:rPr>
        <w:t xml:space="preserve">В подразделе необходимо обратить особое внимание на анализ существующих проблем (рисков)</w:t>
      </w:r>
      <w:r>
        <w:rPr>
          <w:rFonts w:cs="Times New Roman"/>
          <w:szCs w:val="28"/>
          <w:highlight w:val="white"/>
        </w:rPr>
        <w:t xml:space="preserve">, сдерживающих темпы развития </w:t>
      </w:r>
      <w:r>
        <w:rPr>
          <w:rFonts w:cs="Times New Roman"/>
          <w:szCs w:val="28"/>
          <w:highlight w:val="white"/>
        </w:rPr>
        <w:t xml:space="preserve">вида спорта в </w:t>
      </w:r>
      <w:r>
        <w:rPr>
          <w:rFonts w:cs="Times New Roman"/>
          <w:szCs w:val="28"/>
          <w:highlight w:val="white"/>
        </w:rPr>
        <w:t xml:space="preserve">Новосибирской области</w:t>
      </w:r>
      <w:r>
        <w:rPr>
          <w:rFonts w:cs="Times New Roman"/>
          <w:szCs w:val="28"/>
          <w:highlight w:val="white"/>
        </w:rPr>
        <w:t xml:space="preserve">. </w:t>
      </w: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</w:p>
    <w:p>
      <w:pPr>
        <w:spacing w:line="276" w:lineRule="auto"/>
        <w:rPr>
          <w:rFonts w:cs="Times New Roman"/>
          <w:szCs w:val="28"/>
          <w:highlight w:val="white"/>
        </w:rPr>
      </w:pPr>
      <w:r>
        <w:rPr>
          <w:rFonts w:cs="Times New Roman"/>
          <w:szCs w:val="28"/>
          <w:highlight w:val="white"/>
        </w:rPr>
        <w:t xml:space="preserve">При характеристике проблемы от</w:t>
      </w:r>
      <w:r>
        <w:rPr>
          <w:rFonts w:cs="Times New Roman"/>
          <w:szCs w:val="28"/>
          <w:highlight w:val="white"/>
        </w:rPr>
        <w:t xml:space="preserve">метить причину ее возникновения</w:t>
      </w:r>
      <w:r>
        <w:rPr>
          <w:rFonts w:cs="Times New Roman"/>
          <w:szCs w:val="28"/>
          <w:highlight w:val="white"/>
        </w:rPr>
        <w:t xml:space="preserve">.</w:t>
      </w: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</w:p>
    <w:p>
      <w:pPr>
        <w:spacing w:line="276" w:lineRule="auto"/>
        <w:rPr>
          <w:rFonts w:cs="Times New Roman"/>
          <w:szCs w:val="28"/>
          <w:highlight w:val="white"/>
        </w:rPr>
      </w:pPr>
      <w:r>
        <w:rPr>
          <w:rFonts w:cs="Times New Roman"/>
          <w:szCs w:val="28"/>
          <w:highlight w:val="white"/>
        </w:rPr>
        <w:t xml:space="preserve">Описать </w:t>
      </w:r>
      <w:r>
        <w:rPr>
          <w:rFonts w:cs="Times New Roman"/>
          <w:szCs w:val="28"/>
          <w:highlight w:val="white"/>
        </w:rPr>
        <w:t xml:space="preserve">предложения </w:t>
      </w:r>
      <w:r>
        <w:rPr>
          <w:rFonts w:cs="Times New Roman"/>
          <w:szCs w:val="28"/>
          <w:highlight w:val="white"/>
        </w:rPr>
        <w:t xml:space="preserve">по решению существующих проблем.</w:t>
      </w:r>
      <w:r>
        <w:rPr>
          <w:rFonts w:cs="Times New Roman"/>
          <w:szCs w:val="28"/>
          <w:highlight w:val="white"/>
        </w:rPr>
        <w:t xml:space="preserve"> </w:t>
      </w:r>
      <w:r>
        <w:rPr>
          <w:rFonts w:cs="Times New Roman"/>
          <w:szCs w:val="28"/>
          <w:highlight w:val="white"/>
        </w:rPr>
        <w:t xml:space="preserve">Указать к</w:t>
      </w:r>
      <w:r>
        <w:rPr>
          <w:rFonts w:cs="Times New Roman"/>
          <w:szCs w:val="28"/>
          <w:highlight w:val="white"/>
        </w:rPr>
        <w:t xml:space="preserve">акие проблемы позволит устранить реализация Программы.</w:t>
      </w:r>
      <w:r>
        <w:rPr>
          <w:rFonts w:cs="Times New Roman"/>
          <w:szCs w:val="28"/>
          <w:highlight w:val="white"/>
        </w:rPr>
        <w:t xml:space="preserve"> </w:t>
      </w: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</w:p>
    <w:p>
      <w:pPr>
        <w:rPr>
          <w:rFonts w:cs="Times New Roman"/>
          <w:highlight w:val="white"/>
        </w:rPr>
        <w:sectPr>
          <w:footnotePr/>
          <w:endnotePr/>
          <w:type w:val="nextPage"/>
          <w:pgSz w:w="11906" w:h="16838" w:orient="portrait"/>
          <w:pgMar w:top="1134" w:right="567" w:bottom="1134" w:left="1418" w:header="708" w:footer="708" w:gutter="0"/>
          <w:cols w:num="1" w:sep="0" w:space="708" w:equalWidth="1"/>
          <w:docGrid w:linePitch="360"/>
        </w:sectPr>
      </w:pP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</w:p>
    <w:p>
      <w:pPr>
        <w:pStyle w:val="843"/>
        <w:numPr>
          <w:ilvl w:val="0"/>
          <w:numId w:val="1"/>
        </w:numPr>
        <w:rPr>
          <w:rFonts w:cs="Times New Roman"/>
          <w:szCs w:val="28"/>
          <w:highlight w:val="white"/>
        </w:rPr>
      </w:pPr>
      <w:r>
        <w:rPr>
          <w:rFonts w:cs="Times New Roman"/>
          <w:szCs w:val="28"/>
          <w:highlight w:val="white"/>
        </w:rPr>
        <w:t xml:space="preserve">Целевые показатели (индикаторы) деятельности региональной спортивной федерации по развитию вида спорта в Новосибирской области, сроки и этапы реализации программы, основные ожидаемые результаты реализации Программы</w:t>
      </w:r>
      <w:r>
        <w:rPr>
          <w:rFonts w:cs="Times New Roman"/>
          <w:szCs w:val="28"/>
          <w:highlight w:val="white"/>
        </w:rPr>
      </w:r>
      <w:r>
        <w:rPr>
          <w:rFonts w:cs="Times New Roman"/>
          <w:szCs w:val="28"/>
          <w:highlight w:val="white"/>
        </w:rPr>
      </w:r>
    </w:p>
    <w:tbl>
      <w:tblPr>
        <w:tblW w:w="9985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544"/>
        <w:gridCol w:w="85"/>
        <w:gridCol w:w="3119"/>
        <w:gridCol w:w="1276"/>
        <w:gridCol w:w="1275"/>
        <w:gridCol w:w="1418"/>
        <w:gridCol w:w="1134"/>
        <w:gridCol w:w="1134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44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№ </w:t>
            </w:r>
            <w:r>
              <w:rPr>
                <w:highlight w:val="white"/>
              </w:rPr>
              <w:t xml:space="preserve">п</w:t>
            </w:r>
            <w:r>
              <w:rPr>
                <w:highlight w:val="white"/>
              </w:rPr>
              <w:t xml:space="preserve">/п</w:t>
            </w:r>
            <w:r>
              <w:rPr>
                <w:highlight w:val="white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204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Наименование целевого показателя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Единица измерения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20__ г.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20__ г</w:t>
            </w:r>
            <w:r>
              <w:rPr>
                <w:highlight w:val="white"/>
              </w:rPr>
              <w:t xml:space="preserve">.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20__ г</w:t>
            </w:r>
            <w:r>
              <w:rPr>
                <w:highlight w:val="white"/>
              </w:rPr>
              <w:t xml:space="preserve">.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20__ г</w:t>
            </w:r>
            <w:r>
              <w:rPr>
                <w:highlight w:val="white"/>
              </w:rPr>
              <w:t xml:space="preserve">.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44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1</w:t>
            </w:r>
            <w:r>
              <w:rPr>
                <w:highlight w:val="white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204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2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3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4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5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6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7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85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3.</w:t>
            </w:r>
            <w:r>
              <w:rPr>
                <w:highlight w:val="white"/>
              </w:rPr>
              <w:t xml:space="preserve">1. ВОВЛЕЧЕНИЕ НАСЕЛЕНИЯ В ЗАНЯТИЯ ВИДОМ СПОРТА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vMerge w:val="restart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1.1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Численность </w:t>
            </w:r>
            <w:r>
              <w:rPr>
                <w:highlight w:val="white"/>
              </w:rPr>
              <w:t xml:space="preserve">занимающихся</w:t>
            </w:r>
            <w:r>
              <w:rPr>
                <w:highlight w:val="white"/>
              </w:rPr>
              <w:t xml:space="preserve"> видом спорта в Новосибирской области, в том числе: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мужчины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женщины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инвалиды и лица с ограниченными возможностями здоровья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в организациях, осуществляющих спортивную подготовку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в организациях любой формы собственности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629" w:type="dxa"/>
            <w:vMerge w:val="restart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1.2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физкультурных мероприятий, включенных в календарный план Новосибирской области, в том числе: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среди детей и учащейся молодежи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среди студентов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среди лиц средних и старших возрастных групп населения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среди инвалидов и лиц с ограниченными возможностями здоровья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совместно со структурными подразделениями </w:t>
            </w:r>
            <w:r>
              <w:rPr>
                <w:highlight w:val="white"/>
              </w:rPr>
              <w:t xml:space="preserve">федеральных органов исполнительной власти, осуществляющих руководство развитием военно-прикладных и служебно-прикладных видов спорта, или общественно-государственными организациями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629" w:type="dxa"/>
            <w:vMerge w:val="restart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1.3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мероприятий по пропаганде и популяризации вида спорта, в том числе: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мастер-классы, показательные выступления, иные формы популяризации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фестивали, конкурсы и иные мероприятия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опубликованных новостных материалов на официальном сайте и в социальных сетях федерации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иные мероприятия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85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3.</w:t>
            </w:r>
            <w:r>
              <w:rPr>
                <w:highlight w:val="white"/>
              </w:rPr>
              <w:t xml:space="preserve">2. РАЗВИТИЕ СПОРТА ВЫСШИХ ДОСТИЖЕНИЙ И ПОДГОТОВКА СПОРТИВНОГО РЕЗЕРВА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2.1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спортивных мероприятий, включенных в календарный план Новосибирской области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629" w:type="dxa"/>
            <w:vMerge w:val="restart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2.1.1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региональных и межмуниципальных официальных спортивных мероприятий, в том числе: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чемпионат Новосибирской области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первенство Новосибирской области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Кубок Новосибирской области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межмуниципальные соревнования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иные соревнования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2.1.2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спортсменов, принявших участие в спортивных мероприятиях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2.2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Результаты выступления спортсменов Новосибирской области на официальных спортивных соревнованиях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629" w:type="dxa"/>
            <w:vMerge w:val="restart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2.2.1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Медали (места), завоеванные спортсменами Новосибирской области, выступавшими в составе спортивных сборных команд Российской Федерации на международных официальных спортивных соревнованиях, в том числе: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Олимпийские игры, </w:t>
            </w:r>
            <w:r>
              <w:rPr>
                <w:highlight w:val="white"/>
              </w:rPr>
              <w:t xml:space="preserve">Паралимпийские</w:t>
            </w:r>
            <w:r>
              <w:rPr>
                <w:highlight w:val="white"/>
              </w:rPr>
              <w:t xml:space="preserve"> игры, </w:t>
            </w:r>
            <w:r>
              <w:rPr>
                <w:highlight w:val="white"/>
              </w:rPr>
              <w:t xml:space="preserve">Сурдлимпийские</w:t>
            </w:r>
            <w:r>
              <w:rPr>
                <w:highlight w:val="white"/>
              </w:rPr>
              <w:t xml:space="preserve"> игры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Всемирные игры (для видов спорта, не включенных в программу игр Олимпиады или Олимпийских зимних игр)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чемпионат мира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Кубок мира (финал)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первенство мира (с учетом всех возрастных групп), Юношеские олимпийские игры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чемпионат Европы, Кубок Европы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первенство Европы (с учетом всех возрастных групп)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другие международные соревнования, являющиеся квалификационными к играм Олимпиады, Олимпийским зимним играм, </w:t>
            </w:r>
            <w:r>
              <w:rPr>
                <w:highlight w:val="white"/>
              </w:rPr>
              <w:t xml:space="preserve">Паралимпийским</w:t>
            </w:r>
            <w:r>
              <w:rPr>
                <w:highlight w:val="white"/>
              </w:rPr>
              <w:t xml:space="preserve"> играм, </w:t>
            </w:r>
            <w:r>
              <w:rPr>
                <w:highlight w:val="white"/>
              </w:rPr>
              <w:t xml:space="preserve">Сурдлимпийским</w:t>
            </w:r>
            <w:r>
              <w:rPr>
                <w:highlight w:val="white"/>
              </w:rPr>
              <w:t xml:space="preserve"> </w:t>
            </w:r>
            <w:r>
              <w:rPr>
                <w:highlight w:val="white"/>
              </w:rPr>
              <w:t xml:space="preserve">играм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629" w:type="dxa"/>
            <w:vMerge w:val="restart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2.2.2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Медали (места), завоеванные спортсменами Новосибирской области, выступавшими в составе сборной команды Новосибирской области на межрегиональных и всероссийских официальных спортивных соревнованиях, в том числе: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чемпионат России, Всероссийская спартакиада среди сильнейших спортсменов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Кубок России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первенство России, Всероссийская спартакиада среди субъектов Российской Федерации (с учетом всех возрастных групп)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другие всероссийские спортивные соревнования (с учетом всех возрастных групп), являющиеся отборочными на чемпионат или первенство России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чемпионат федерального округа, двух и </w:t>
            </w:r>
            <w:r>
              <w:rPr>
                <w:highlight w:val="white"/>
              </w:rPr>
              <w:t xml:space="preserve">более федеральных</w:t>
            </w:r>
            <w:r>
              <w:rPr>
                <w:highlight w:val="white"/>
              </w:rPr>
              <w:t xml:space="preserve"> округов, являющийся отборочным на чемпионат России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первенство федерального округа, двух и </w:t>
            </w:r>
            <w:r>
              <w:rPr>
                <w:highlight w:val="white"/>
              </w:rPr>
              <w:t xml:space="preserve">более федеральных</w:t>
            </w:r>
            <w:r>
              <w:rPr>
                <w:highlight w:val="white"/>
              </w:rPr>
              <w:t xml:space="preserve"> округов, являющееся отборочным на первенство России (с учетом всех возрастных групп)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штук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2.3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мероприятий, проводимых среди спортсменов, тренеров и иных специалистов в области физической культуры и спорта, направленных на </w:t>
            </w:r>
            <w:r>
              <w:rPr>
                <w:highlight w:val="white"/>
              </w:rPr>
              <w:t xml:space="preserve">предотвращение допинга в спорте и борьбу с ним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2.4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спортсменов Новосибирской области, включенных в списки кандидатов в спортивные сборные команды Российской Федерации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629" w:type="dxa"/>
            <w:vMerge w:val="restart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2.5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присвоенных (подтвержденных) спортивных разрядов и спортивных званий по виду спорта, в том числе: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мастер спорта России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мастер спорта России международного класса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гроссмейстер России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заслуженный мастер спорта России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кандидат в мастера спорта России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I спортивный разряд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II и III спортивные разряды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I, II и III юношеские спортивные разряды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85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3.</w:t>
            </w:r>
            <w:r>
              <w:rPr>
                <w:highlight w:val="white"/>
              </w:rPr>
              <w:t xml:space="preserve">3. КАДРОВЫЙ ПОТЕНЦИАЛ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629" w:type="dxa"/>
            <w:vMerge w:val="restart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3.1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квалифицированных тренеров (тренеров-преподавателей) и иных специалистов по виду спорта, в том числе: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квалифицированных тренеров и иных специалистов в области физической культуры и спорта, работающих со спортивной сборной командой Российской Федерации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тренеров и иных специалистов, прошедших переподготовку или повышение квалификации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629" w:type="dxa"/>
            <w:vMerge w:val="restart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3.2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спортивных судей по виду спорта по квалификационным категориям, в том числе: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юный спортивный судья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III категории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II категории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I категории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всероссийской категории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международной категории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3.3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семинаров для тренеров (тренеров-преподавателей) и иных специалистов по виду спорта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3.3.1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тренеров и иных специалистов, принявших участие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3.4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семинаров по повышению квалификации спортивных судей по виду спорта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3.4.1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спортивных судей, принявших участие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85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4. ФАКУЛЬТАТИВНЫЕ ПОКАЗАТЕЛИ</w:t>
            </w: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4.1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представителей федерации в руководящих или технических органах общероссийской спортивной федерации, международной спортивной федерации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4.2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спортивных судей, привлекаемых общероссийской спортивной федерацией к спортивному судейству межрегиональных и всероссийских </w:t>
            </w:r>
            <w:r>
              <w:rPr>
                <w:highlight w:val="white"/>
              </w:rPr>
              <w:t xml:space="preserve">официальных спортивных соревнований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человек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629" w:type="dxa"/>
            <w:vMerge w:val="restart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4.3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официальных спортивных мероприятий, в организации и проведении которых федерация приняла участие, в том числе: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межрегионального уровня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всероссийского уровня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vMerge w:val="continue"/>
            <w:textDirection w:val="lrTb"/>
            <w:noWrap w:val="false"/>
          </w:tcPr>
          <w:p>
            <w:pPr>
              <w:pStyle w:val="841"/>
            </w:pPr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международного уровня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4.4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Количество привлеченных грантов, субсидий и других источников финансирования развития вида спорта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единиц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2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4.5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19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  <w:t xml:space="preserve">Иные (при наличии в отчетном периоде)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</w:tbl>
    <w:p>
      <w:pPr>
        <w:rPr>
          <w:rFonts w:cs="Times New Roman"/>
          <w:highlight w:val="white"/>
        </w:rPr>
      </w:pP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  <w:r>
        <w:rPr>
          <w:rFonts w:cs="Times New Roman"/>
          <w:highlight w:val="white"/>
        </w:rPr>
      </w:r>
    </w:p>
    <w:p>
      <w:pPr>
        <w:pStyle w:val="843"/>
        <w:numPr>
          <w:ilvl w:val="0"/>
          <w:numId w:val="1"/>
        </w:numPr>
        <w:rPr>
          <w:highlight w:val="white"/>
        </w:rPr>
      </w:pPr>
      <w:r>
        <w:rPr>
          <w:highlight w:val="white"/>
        </w:rPr>
        <w:t xml:space="preserve">Критерии формирования спортивной сборной команды Новосибирской области по виду спорта для подготовки к участию и участия в межрегиональных и всероссийских официальных спортивных соревнованиях</w:t>
      </w:r>
      <w:r>
        <w:rPr>
          <w:highlight w:val="white"/>
        </w:rPr>
      </w:r>
    </w:p>
    <w:p>
      <w:pPr>
        <w:rPr>
          <w:szCs w:val="28"/>
          <w:highlight w:val="white"/>
        </w:rPr>
      </w:pPr>
      <w:r>
        <w:rPr>
          <w:highlight w:val="white"/>
        </w:rPr>
        <w:t xml:space="preserve">В данном разделе необходимо описать процедуру формирования спортивных сборных команд Новосибирской области по виду спорта в соответствии с действующими нормативными правовыми актами. </w:t>
      </w:r>
      <w:r>
        <w:rPr>
          <w:szCs w:val="28"/>
          <w:highlight w:val="white"/>
        </w:rPr>
        <w:t xml:space="preserve">Документ должен отражать перечень контрольных и отборочных мероприятий, сроки их проведения и предполагаемый допуск на них. Реквизиты такого документа рекомендуется отразить в Программе.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rPr>
          <w:szCs w:val="28"/>
          <w:highlight w:val="white"/>
        </w:rPr>
      </w:pPr>
      <w:r>
        <w:rPr>
          <w:szCs w:val="28"/>
          <w:highlight w:val="white"/>
        </w:rPr>
        <w:t xml:space="preserve">Критерии формирования спортивной сборной команды Новосибирской области рекомендуется </w:t>
      </w:r>
      <w:r>
        <w:rPr>
          <w:szCs w:val="28"/>
          <w:highlight w:val="white"/>
        </w:rPr>
        <w:t xml:space="preserve">устанавливать,</w:t>
      </w:r>
      <w:r>
        <w:rPr>
          <w:szCs w:val="28"/>
          <w:highlight w:val="white"/>
        </w:rPr>
        <w:t xml:space="preserve"> в том числе на основании результатов выступления спортсменов на отборочных, контрольных соревнованиях, оценки специальной физической, общефизической, технико-тактической, психологической подготовленности и их динамики.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rPr>
          <w:szCs w:val="28"/>
          <w:highlight w:val="white"/>
        </w:rPr>
      </w:pPr>
      <w:r>
        <w:rPr>
          <w:szCs w:val="28"/>
          <w:highlight w:val="white"/>
        </w:rPr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43"/>
        <w:rPr>
          <w:highlight w:val="white"/>
        </w:rPr>
        <w:sectPr>
          <w:footnotePr/>
          <w:endnotePr/>
          <w:type w:val="nextPage"/>
          <w:pgSz w:w="11906" w:h="16838" w:orient="portrait"/>
          <w:pgMar w:top="1134" w:right="567" w:bottom="1134" w:left="1418" w:header="709" w:footer="709" w:gutter="0"/>
          <w:cols w:num="1" w:sep="0" w:space="708" w:equalWidth="1"/>
          <w:docGrid w:linePitch="360"/>
        </w:sectPr>
      </w:pPr>
      <w:r>
        <w:rPr>
          <w:highlight w:val="white"/>
        </w:rPr>
      </w:r>
      <w:r>
        <w:rPr>
          <w:highlight w:val="white"/>
        </w:rPr>
      </w:r>
    </w:p>
    <w:p>
      <w:pPr>
        <w:pStyle w:val="843"/>
        <w:rPr>
          <w:highlight w:val="white"/>
        </w:rPr>
      </w:pPr>
      <w:r>
        <w:rPr>
          <w:highlight w:val="white"/>
        </w:rPr>
        <w:t xml:space="preserve">Раздел </w:t>
      </w:r>
      <w:r>
        <w:rPr>
          <w:highlight w:val="white"/>
          <w:lang w:val="en-US"/>
        </w:rPr>
        <w:t xml:space="preserve">V</w:t>
      </w:r>
      <w:r>
        <w:rPr>
          <w:highlight w:val="white"/>
        </w:rPr>
        <w:t xml:space="preserve">. </w:t>
      </w:r>
      <w:r>
        <w:rPr>
          <w:highlight w:val="white"/>
        </w:rPr>
        <w:t xml:space="preserve">Перечень и описание основных программных мероприятий, сроки выполнения по этапам реализации Программы. Объемы и источники финансирования</w:t>
      </w:r>
      <w:r>
        <w:rPr>
          <w:highlight w:val="white"/>
        </w:rPr>
      </w:r>
      <w:r>
        <w:rPr>
          <w:highlight w:val="white"/>
        </w:rPr>
      </w:r>
    </w:p>
    <w:p>
      <w:pPr>
        <w:rPr>
          <w:highlight w:val="white"/>
        </w:rPr>
      </w:pPr>
      <w:r>
        <w:rPr>
          <w:highlight w:val="white"/>
        </w:rPr>
        <w:t xml:space="preserve">Все мероприятия</w:t>
      </w:r>
      <w:r>
        <w:rPr>
          <w:highlight w:val="white"/>
        </w:rPr>
        <w:t xml:space="preserve"> должны способствоват</w:t>
      </w:r>
      <w:r>
        <w:rPr>
          <w:highlight w:val="white"/>
        </w:rPr>
        <w:t xml:space="preserve">ь совершенствованию и развитию </w:t>
      </w:r>
      <w:r>
        <w:rPr>
          <w:highlight w:val="white"/>
        </w:rPr>
        <w:t xml:space="preserve">вида спорта в </w:t>
      </w:r>
      <w:r>
        <w:rPr>
          <w:highlight w:val="white"/>
        </w:rPr>
        <w:t xml:space="preserve">Новосибирской области</w:t>
      </w:r>
      <w:r>
        <w:rPr>
          <w:highlight w:val="white"/>
        </w:rPr>
        <w:t xml:space="preserve">.</w:t>
      </w:r>
      <w:r>
        <w:rPr>
          <w:highlight w:val="white"/>
        </w:rPr>
      </w:r>
    </w:p>
    <w:p>
      <w:pPr>
        <w:rPr>
          <w:rFonts w:cs="Times New Roman"/>
          <w:szCs w:val="24"/>
          <w:highlight w:val="white"/>
        </w:rPr>
      </w:pPr>
      <w:r>
        <w:rPr>
          <w:highlight w:val="white"/>
        </w:rPr>
        <w:t xml:space="preserve">Перечень и описание основных мероприятий программы,</w:t>
      </w:r>
      <w:r>
        <w:rPr>
          <w:highlight w:val="white"/>
        </w:rPr>
        <w:t xml:space="preserve"> </w:t>
      </w:r>
      <w:r>
        <w:rPr>
          <w:rFonts w:cs="Times New Roman"/>
          <w:szCs w:val="24"/>
          <w:highlight w:val="white"/>
        </w:rPr>
        <w:t xml:space="preserve">а также сроки их выполнения</w:t>
      </w:r>
      <w:r>
        <w:rPr>
          <w:rFonts w:cs="Times New Roman"/>
          <w:szCs w:val="24"/>
          <w:highlight w:val="white"/>
        </w:rPr>
        <w:t xml:space="preserve"> по этапам реализации программы</w:t>
      </w:r>
      <w:r>
        <w:rPr>
          <w:rFonts w:cs="Times New Roman"/>
          <w:szCs w:val="24"/>
          <w:highlight w:val="white"/>
        </w:rPr>
        <w:t xml:space="preserve">.</w:t>
      </w:r>
      <w:r>
        <w:rPr>
          <w:rFonts w:cs="Times New Roman"/>
          <w:szCs w:val="24"/>
          <w:highlight w:val="white"/>
        </w:rPr>
      </w:r>
      <w:r>
        <w:rPr>
          <w:rFonts w:cs="Times New Roman"/>
          <w:szCs w:val="24"/>
          <w:highlight w:val="white"/>
        </w:rPr>
      </w:r>
    </w:p>
    <w:tbl>
      <w:tblPr>
        <w:tblW w:w="14882" w:type="dxa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403"/>
        <w:gridCol w:w="805"/>
        <w:gridCol w:w="1667"/>
        <w:gridCol w:w="385"/>
        <w:gridCol w:w="1559"/>
        <w:gridCol w:w="2126"/>
        <w:gridCol w:w="2976"/>
        <w:gridCol w:w="2409"/>
        <w:gridCol w:w="2551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3" w:type="dxa"/>
            <w:textDirection w:val="lrTb"/>
            <w:noWrap w:val="false"/>
          </w:tcPr>
          <w:p>
            <w:pPr>
              <w:pStyle w:val="841"/>
              <w:jc w:val="center"/>
              <w:rPr>
                <w:b/>
                <w:highlight w:val="white"/>
              </w:rPr>
            </w:pPr>
            <w:r>
              <w:rPr>
                <w:highlight w:val="white"/>
              </w:rPr>
            </w:r>
            <w:bookmarkStart w:id="0" w:name="_GoBack"/>
            <w:r>
              <w:rPr>
                <w:highlight w:val="white"/>
              </w:rPr>
            </w:r>
            <w:bookmarkEnd w:id="0"/>
            <w:r>
              <w:rPr>
                <w:b/>
                <w:highlight w:val="white"/>
              </w:rPr>
              <w:t xml:space="preserve">N п/п</w:t>
            </w:r>
            <w:r>
              <w:rPr>
                <w:b/>
                <w:highlight w:val="white"/>
              </w:rPr>
            </w:r>
            <w:r>
              <w:rPr>
                <w:b/>
                <w:highlight w:val="white"/>
              </w:rPr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57" w:type="dxa"/>
            <w:textDirection w:val="lrTb"/>
            <w:noWrap w:val="false"/>
          </w:tcPr>
          <w:p>
            <w:pPr>
              <w:pStyle w:val="841"/>
              <w:jc w:val="center"/>
              <w:rPr>
                <w:b/>
                <w:highlight w:val="white"/>
              </w:rPr>
            </w:pPr>
            <w:r>
              <w:rPr>
                <w:b/>
                <w:highlight w:val="white"/>
              </w:rPr>
              <w:t xml:space="preserve">Мероприятия</w:t>
            </w:r>
            <w:r>
              <w:rPr>
                <w:b/>
                <w:highlight w:val="white"/>
              </w:rPr>
            </w:r>
            <w:r>
              <w:rPr>
                <w:b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841"/>
              <w:jc w:val="center"/>
              <w:rPr>
                <w:b/>
                <w:highlight w:val="white"/>
              </w:rPr>
            </w:pPr>
            <w:r>
              <w:rPr>
                <w:b/>
                <w:highlight w:val="white"/>
              </w:rPr>
              <w:t xml:space="preserve">Этапы реализации</w:t>
            </w:r>
            <w:r>
              <w:rPr>
                <w:b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841"/>
              <w:rPr>
                <w:b/>
                <w:bCs/>
                <w:highlight w:val="white"/>
              </w:rPr>
            </w:pPr>
            <w:r>
              <w:rPr>
                <w:b/>
                <w:bCs/>
                <w:highlight w:val="white"/>
              </w:rPr>
              <w:t xml:space="preserve">Ответственные исполнители</w:t>
            </w:r>
            <w:r>
              <w:rPr>
                <w:rStyle w:val="849"/>
                <w:b/>
                <w:bCs/>
                <w:highlight w:val="white"/>
              </w:rPr>
              <w:footnoteReference w:id="5"/>
            </w:r>
            <w:r>
              <w:rPr>
                <w:b/>
                <w:bCs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6" w:type="dxa"/>
            <w:textDirection w:val="lrTb"/>
            <w:noWrap w:val="false"/>
          </w:tcPr>
          <w:p>
            <w:pPr>
              <w:pStyle w:val="841"/>
              <w:rPr>
                <w:b/>
                <w:bCs/>
                <w:highlight w:val="white"/>
              </w:rPr>
            </w:pPr>
            <w:r>
              <w:rPr>
                <w:b/>
                <w:bCs/>
                <w:highlight w:val="white"/>
              </w:rPr>
              <w:t xml:space="preserve">Документ на основании которого происходит реализация мероприятия</w:t>
            </w:r>
            <w:r>
              <w:rPr>
                <w:b/>
                <w:bCs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pStyle w:val="841"/>
              <w:jc w:val="center"/>
              <w:rPr>
                <w:b/>
                <w:highlight w:val="white"/>
              </w:rPr>
            </w:pPr>
            <w:r>
              <w:rPr>
                <w:b/>
                <w:highlight w:val="white"/>
              </w:rPr>
              <w:t xml:space="preserve">Объемы финансирования</w:t>
            </w:r>
            <w:r>
              <w:rPr>
                <w:rStyle w:val="849"/>
                <w:b/>
                <w:highlight w:val="white"/>
              </w:rPr>
              <w:footnoteReference w:id="6"/>
            </w:r>
            <w:r>
              <w:rPr>
                <w:b/>
                <w:highlight w:val="white"/>
              </w:rPr>
            </w:r>
            <w:r>
              <w:rPr>
                <w:b/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pStyle w:val="841"/>
              <w:jc w:val="center"/>
              <w:rPr>
                <w:b/>
                <w:highlight w:val="white"/>
              </w:rPr>
            </w:pPr>
            <w:r>
              <w:rPr>
                <w:b/>
                <w:highlight w:val="white"/>
              </w:rPr>
              <w:t xml:space="preserve">Источники финансирования</w:t>
            </w:r>
            <w:r>
              <w:rPr>
                <w:b/>
                <w:highlight w:val="white"/>
              </w:rPr>
            </w:r>
            <w:r>
              <w:rPr>
                <w:b/>
                <w:highlight w:val="white"/>
              </w:rPr>
            </w:r>
          </w:p>
        </w:tc>
      </w:tr>
      <w:tr>
        <w:tblPrEx/>
        <w:trPr/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82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М</w:t>
            </w:r>
            <w:r>
              <w:rPr>
                <w:highlight w:val="white"/>
              </w:rPr>
              <w:t xml:space="preserve">ассовый спорт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3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57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...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82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Д</w:t>
            </w:r>
            <w:r>
              <w:rPr>
                <w:highlight w:val="white"/>
              </w:rPr>
              <w:t xml:space="preserve">етско-юношеский спорт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3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57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...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82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Ш</w:t>
            </w:r>
            <w:r>
              <w:rPr>
                <w:highlight w:val="white"/>
              </w:rPr>
              <w:t xml:space="preserve">кольный спорт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3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57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...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82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С</w:t>
            </w:r>
            <w:r>
              <w:rPr>
                <w:highlight w:val="white"/>
              </w:rPr>
              <w:t xml:space="preserve">туденческий спорт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3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57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...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82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С</w:t>
            </w:r>
            <w:r>
              <w:rPr>
                <w:highlight w:val="white"/>
              </w:rPr>
              <w:t xml:space="preserve">порт высших достижений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3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57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...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82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С</w:t>
            </w:r>
            <w:r>
              <w:rPr>
                <w:highlight w:val="white"/>
              </w:rPr>
              <w:t xml:space="preserve">порт инвалидов и лиц с ограниченными возможностями здоровья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3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57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...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82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С</w:t>
            </w:r>
            <w:r>
              <w:rPr>
                <w:highlight w:val="white"/>
              </w:rPr>
              <w:t xml:space="preserve">портивная инфраструктура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3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57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...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82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Подготовка, судей, тренеров и иных специалистов в области физической культуры и спорта по виду спорта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3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57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...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82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П</w:t>
            </w:r>
            <w:r>
              <w:rPr>
                <w:highlight w:val="white"/>
              </w:rPr>
              <w:t xml:space="preserve">редотвращение допинга в спорте и борьба с ним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3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57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...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82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П</w:t>
            </w:r>
            <w:r>
              <w:rPr>
                <w:highlight w:val="white"/>
              </w:rPr>
              <w:t xml:space="preserve">опуляризация вида спорта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3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57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...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82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Р</w:t>
            </w:r>
            <w:r>
              <w:rPr>
                <w:highlight w:val="white"/>
              </w:rPr>
              <w:t xml:space="preserve">азвитие вида спорта в муниципальных образованиях</w:t>
            </w:r>
            <w:r>
              <w:rPr>
                <w:highlight w:val="white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03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57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...</w:t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6" w:type="dxa"/>
            <w:textDirection w:val="lrTb"/>
            <w:noWrap w:val="false"/>
          </w:tcPr>
          <w:p>
            <w:pPr>
              <w:pStyle w:val="841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pStyle w:val="841"/>
              <w:jc w:val="center"/>
              <w:rPr>
                <w:highlight w:val="white"/>
              </w:rPr>
            </w:pP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</w:tbl>
    <w:p>
      <w:pPr>
        <w:rPr>
          <w:highlight w:val="white"/>
        </w:rPr>
      </w:pPr>
      <w:r>
        <w:rPr>
          <w:highlight w:val="white"/>
        </w:rPr>
      </w:r>
    </w:p>
    <w:sectPr>
      <w:footnotePr/>
      <w:endnotePr/>
      <w:type w:val="nextPage"/>
      <w:pgSz w:w="16838" w:h="11906" w:orient="landscape"/>
      <w:pgMar w:top="1134" w:right="567" w:bottom="1134" w:left="1417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  <w:footnote w:id="2">
    <w:p>
      <w:pPr>
        <w:pStyle w:val="847"/>
        <w:rPr>
          <w:highlight w:val="white"/>
        </w:rPr>
      </w:pPr>
      <w:r>
        <w:rPr>
          <w:rStyle w:val="849"/>
          <w:highlight w:val="white"/>
        </w:rPr>
        <w:footnoteRef/>
      </w:r>
      <w:r>
        <w:rPr>
          <w:highlight w:val="white"/>
        </w:rPr>
        <w:t xml:space="preserve"> </w:t>
      </w:r>
      <w:r>
        <w:rPr>
          <w:highlight w:val="white"/>
        </w:rPr>
        <w:t xml:space="preserve">Количество таких мероприятий, проводимых в форме фестивалей, спортивно-рекреационных мероприятий среди граждан старшего поколения, конкурсов на лучшую организацию работы школьного или студенческого клуба, спортивного клуба по месту жительства и иных фор</w:t>
      </w:r>
      <w:r>
        <w:rPr>
          <w:highlight w:val="white"/>
        </w:rPr>
        <w:t xml:space="preserve">мах, рекомендуется отражать в динамике</w:t>
      </w:r>
      <w:r>
        <w:rPr>
          <w:highlight w:val="white"/>
        </w:rPr>
        <w:t xml:space="preserve">.</w:t>
      </w:r>
      <w:r>
        <w:rPr>
          <w:highlight w:val="white"/>
        </w:rPr>
      </w:r>
      <w:r>
        <w:rPr>
          <w:highlight w:val="white"/>
        </w:rPr>
      </w:r>
    </w:p>
    <w:p>
      <w:pPr>
        <w:pStyle w:val="847"/>
        <w:rPr>
          <w:highlight w:val="white"/>
        </w:rPr>
      </w:pPr>
      <w:r>
        <w:rPr>
          <w:highlight w:val="white"/>
        </w:rPr>
        <w:t xml:space="preserve">У</w:t>
      </w:r>
      <w:r>
        <w:rPr>
          <w:highlight w:val="white"/>
        </w:rPr>
        <w:t xml:space="preserve">казанное требование относится к видам спорта, являющимся массовыми или способными стать таковыми, и не учитывается Федерациями, развивающими виды спорта, включенные в перечень видов спорта, в связи со сложностью и с иными особенностями которых возможны пол</w:t>
      </w:r>
      <w:r>
        <w:rPr>
          <w:highlight w:val="white"/>
        </w:rPr>
        <w:t xml:space="preserve">у</w:t>
      </w:r>
      <w:r>
        <w:rPr>
          <w:highlight w:val="white"/>
        </w:rPr>
        <w:t xml:space="preserve">чение общественной организацией, осуществляющей их развитие, государственной аккредитации и приобретение ею статуса общероссийской спортивной федерации, если ее членами и (или) структурными подразделениями являются региональные спортивные федерации, осущес</w:t>
      </w:r>
      <w:r>
        <w:rPr>
          <w:highlight w:val="white"/>
        </w:rPr>
        <w:t xml:space="preserve">твляющие свою деятельность на территориях менее чем половины субъектов Российской Федерации.</w:t>
      </w:r>
      <w:r>
        <w:rPr>
          <w:highlight w:val="white"/>
        </w:rPr>
      </w:r>
      <w:r>
        <w:rPr>
          <w:highlight w:val="white"/>
        </w:rPr>
      </w:r>
    </w:p>
  </w:footnote>
  <w:footnote w:id="3">
    <w:p>
      <w:pPr>
        <w:pStyle w:val="847"/>
        <w:rPr>
          <w:highlight w:val="white"/>
        </w:rPr>
      </w:pPr>
      <w:r>
        <w:rPr>
          <w:rStyle w:val="849"/>
          <w:highlight w:val="white"/>
        </w:rPr>
        <w:footnoteRef/>
      </w:r>
      <w:r>
        <w:rPr>
          <w:highlight w:val="white"/>
        </w:rPr>
        <w:t xml:space="preserve"> </w:t>
      </w:r>
      <w:r>
        <w:rPr>
          <w:highlight w:val="white"/>
        </w:rPr>
        <w:t xml:space="preserve">Указываются фамилия, имя, отчество спортсменов, занимавших призовые места на международных соревнованиях (чемпионат или первенство мира, чемпионат или первенство Европы, кубок мира (финал), чемпионат или первенство России, Всероссийская спартакиада.</w:t>
      </w:r>
      <w:r>
        <w:rPr>
          <w:highlight w:val="white"/>
        </w:rPr>
      </w:r>
      <w:r>
        <w:rPr>
          <w:highlight w:val="white"/>
        </w:rPr>
      </w:r>
    </w:p>
  </w:footnote>
  <w:footnote w:id="4">
    <w:p>
      <w:pPr>
        <w:pStyle w:val="847"/>
        <w:rPr>
          <w:highlight w:val="white"/>
        </w:rPr>
      </w:pPr>
      <w:r>
        <w:rPr>
          <w:rStyle w:val="849"/>
          <w:highlight w:val="white"/>
        </w:rPr>
        <w:footnoteRef/>
      </w:r>
      <w:r>
        <w:rPr>
          <w:highlight w:val="white"/>
        </w:rPr>
        <w:t xml:space="preserve"> </w:t>
      </w:r>
      <w:r>
        <w:rPr>
          <w:highlight w:val="white"/>
        </w:rPr>
        <w:t xml:space="preserve">Учитывая, что состояние спортивной инфраструктуры, климатические условия и иные условия в разных субъектах Российской Федерации различны и могут не отвечать требованиям правил вида спорта для проведения соревнований соответствующего статуса, необходимо </w:t>
      </w:r>
      <w:r>
        <w:rPr>
          <w:highlight w:val="white"/>
        </w:rPr>
        <w:t xml:space="preserve">отметить, что это является фактором, затрудняющим проведение соревнований в субъекте Российской Федерации.</w:t>
      </w:r>
      <w:r>
        <w:rPr>
          <w:highlight w:val="white"/>
        </w:rPr>
      </w:r>
      <w:r>
        <w:rPr>
          <w:highlight w:val="white"/>
        </w:rPr>
      </w:r>
    </w:p>
  </w:footnote>
  <w:footnote w:id="5">
    <w:p>
      <w:pPr>
        <w:pStyle w:val="847"/>
        <w:rPr>
          <w:highlight w:val="white"/>
        </w:rPr>
      </w:pPr>
      <w:r>
        <w:rPr>
          <w:rStyle w:val="849"/>
          <w:highlight w:val="white"/>
        </w:rPr>
        <w:footnoteRef/>
      </w:r>
      <w:r>
        <w:rPr>
          <w:highlight w:val="white"/>
        </w:rPr>
        <w:t xml:space="preserve"> </w:t>
      </w:r>
      <w:r>
        <w:rPr>
          <w:highlight w:val="white"/>
        </w:rPr>
        <w:t xml:space="preserve">с</w:t>
      </w:r>
      <w:r>
        <w:rPr>
          <w:highlight w:val="white"/>
        </w:rPr>
        <w:t xml:space="preserve">ведения об органе региональной спортивной федерации, исполнителе или соисполнителях, ответственных за реализацию мероприятий</w:t>
      </w:r>
      <w:r>
        <w:rPr>
          <w:highlight w:val="white"/>
        </w:rPr>
        <w:t xml:space="preserve">.</w:t>
      </w:r>
      <w:r>
        <w:rPr>
          <w:highlight w:val="white"/>
        </w:rPr>
      </w:r>
      <w:r>
        <w:rPr>
          <w:highlight w:val="white"/>
        </w:rPr>
      </w:r>
    </w:p>
  </w:footnote>
  <w:footnote w:id="6">
    <w:p>
      <w:pPr>
        <w:pStyle w:val="847"/>
        <w:rPr>
          <w:highlight w:val="white"/>
        </w:rPr>
      </w:pPr>
      <w:r>
        <w:rPr>
          <w:rStyle w:val="849"/>
          <w:highlight w:val="white"/>
        </w:rPr>
        <w:footnoteRef/>
      </w:r>
      <w:r>
        <w:rPr>
          <w:highlight w:val="white"/>
        </w:rPr>
        <w:t xml:space="preserve"> </w:t>
      </w:r>
      <w:r>
        <w:rPr>
          <w:highlight w:val="white"/>
        </w:rPr>
        <w:t xml:space="preserve">предполагаемые объемы и источники финансирования (бюджетные и внебюджетные), необходимые для реализации запланированных мероприятий</w:t>
      </w:r>
      <w:r>
        <w:rPr>
          <w:highlight w:val="white"/>
        </w:rPr>
        <w:t xml:space="preserve">.</w:t>
      </w:r>
      <w:r>
        <w:rPr>
          <w:highlight w:val="white"/>
        </w:rPr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upperRoman"/>
      <w:isLgl w:val="false"/>
      <w:suff w:val="tab"/>
      <w:lvlText w:val="Раздел %1."/>
      <w:lvlJc w:val="left"/>
      <w:pPr>
        <w:ind w:left="1429" w:hanging="72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720" w:hanging="360"/>
        <w:tabs>
          <w:tab w:val="num" w:pos="0" w:leader="none"/>
        </w:tabs>
      </w:pPr>
      <w:rPr>
        <w:rFonts w:ascii="Times New Roman" w:hAnsi="Times New Roman" w:cs="Times New Roman"/>
        <w:b/>
        <w:color w:val="auto"/>
        <w:sz w:val="24"/>
        <w:szCs w:val="28"/>
        <w:lang w:val="ru-RU" w:eastAsia="en-US" w:bidi="ar-SA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0" w:leader="none"/>
        </w:tabs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0" w:leader="none"/>
        </w:tabs>
      </w:pPr>
      <w:rPr>
        <w:rFonts w:ascii="Wingdings" w:hAnsi="Wingdings" w:cs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0" w:leader="none"/>
        </w:tabs>
      </w:pPr>
      <w:rPr>
        <w:rFonts w:ascii="Symbol" w:hAnsi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0" w:leader="none"/>
        </w:tabs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0" w:leader="none"/>
        </w:tabs>
      </w:pPr>
      <w:rPr>
        <w:rFonts w:ascii="Wingdings" w:hAnsi="Wingdings" w:cs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0" w:leader="none"/>
        </w:tabs>
      </w:pPr>
      <w:rPr>
        <w:rFonts w:ascii="Symbol" w:hAnsi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0" w:leader="none"/>
        </w:tabs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0" w:leader="none"/>
        </w:tabs>
      </w:pPr>
      <w:rPr>
        <w:rFonts w:ascii="Wingdings" w:hAnsi="Wingdings" w:cs="Wingdings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‒"/>
      <w:lvlJc w:val="left"/>
      <w:pPr>
        <w:ind w:left="1429" w:hanging="360"/>
      </w:pPr>
      <w:rPr>
        <w:rFonts w:hint="default" w:ascii="Times New Roman" w:hAnsi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3">
    <w:multiLevelType w:val="hybridMultilevel"/>
    <w:lvl w:ilvl="0">
      <w:start w:val="1"/>
      <w:numFmt w:val="upperRoman"/>
      <w:isLgl w:val="false"/>
      <w:suff w:val="tab"/>
      <w:lvlText w:val="Раздел %1."/>
      <w:lvlJc w:val="left"/>
      <w:pPr>
        <w:ind w:left="2138" w:hanging="72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sz w:val="28"/>
        <w:szCs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4">
    <w:name w:val="Heading 1"/>
    <w:basedOn w:val="836"/>
    <w:next w:val="836"/>
    <w:link w:val="66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5">
    <w:name w:val="Heading 1 Char"/>
    <w:basedOn w:val="837"/>
    <w:link w:val="664"/>
    <w:uiPriority w:val="9"/>
    <w:rPr>
      <w:rFonts w:ascii="Arial" w:hAnsi="Arial" w:eastAsia="Arial" w:cs="Arial"/>
      <w:sz w:val="40"/>
      <w:szCs w:val="40"/>
    </w:rPr>
  </w:style>
  <w:style w:type="paragraph" w:styleId="666">
    <w:name w:val="Heading 2"/>
    <w:basedOn w:val="836"/>
    <w:next w:val="836"/>
    <w:link w:val="66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7">
    <w:name w:val="Heading 2 Char"/>
    <w:basedOn w:val="837"/>
    <w:link w:val="666"/>
    <w:uiPriority w:val="9"/>
    <w:rPr>
      <w:rFonts w:ascii="Arial" w:hAnsi="Arial" w:eastAsia="Arial" w:cs="Arial"/>
      <w:sz w:val="34"/>
    </w:rPr>
  </w:style>
  <w:style w:type="paragraph" w:styleId="668">
    <w:name w:val="Heading 3"/>
    <w:basedOn w:val="836"/>
    <w:next w:val="836"/>
    <w:link w:val="66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9">
    <w:name w:val="Heading 3 Char"/>
    <w:basedOn w:val="837"/>
    <w:link w:val="668"/>
    <w:uiPriority w:val="9"/>
    <w:rPr>
      <w:rFonts w:ascii="Arial" w:hAnsi="Arial" w:eastAsia="Arial" w:cs="Arial"/>
      <w:sz w:val="30"/>
      <w:szCs w:val="30"/>
    </w:rPr>
  </w:style>
  <w:style w:type="paragraph" w:styleId="670">
    <w:name w:val="Heading 4"/>
    <w:basedOn w:val="836"/>
    <w:next w:val="836"/>
    <w:link w:val="67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71">
    <w:name w:val="Heading 4 Char"/>
    <w:basedOn w:val="837"/>
    <w:link w:val="670"/>
    <w:uiPriority w:val="9"/>
    <w:rPr>
      <w:rFonts w:ascii="Arial" w:hAnsi="Arial" w:eastAsia="Arial" w:cs="Arial"/>
      <w:b/>
      <w:bCs/>
      <w:sz w:val="26"/>
      <w:szCs w:val="26"/>
    </w:rPr>
  </w:style>
  <w:style w:type="paragraph" w:styleId="672">
    <w:name w:val="Heading 5"/>
    <w:basedOn w:val="836"/>
    <w:next w:val="836"/>
    <w:link w:val="67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3">
    <w:name w:val="Heading 5 Char"/>
    <w:basedOn w:val="837"/>
    <w:link w:val="672"/>
    <w:uiPriority w:val="9"/>
    <w:rPr>
      <w:rFonts w:ascii="Arial" w:hAnsi="Arial" w:eastAsia="Arial" w:cs="Arial"/>
      <w:b/>
      <w:bCs/>
      <w:sz w:val="24"/>
      <w:szCs w:val="24"/>
    </w:rPr>
  </w:style>
  <w:style w:type="paragraph" w:styleId="674">
    <w:name w:val="Heading 6"/>
    <w:basedOn w:val="836"/>
    <w:next w:val="836"/>
    <w:link w:val="67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5">
    <w:name w:val="Heading 6 Char"/>
    <w:basedOn w:val="837"/>
    <w:link w:val="674"/>
    <w:uiPriority w:val="9"/>
    <w:rPr>
      <w:rFonts w:ascii="Arial" w:hAnsi="Arial" w:eastAsia="Arial" w:cs="Arial"/>
      <w:b/>
      <w:bCs/>
      <w:sz w:val="22"/>
      <w:szCs w:val="22"/>
    </w:rPr>
  </w:style>
  <w:style w:type="paragraph" w:styleId="676">
    <w:name w:val="Heading 7"/>
    <w:basedOn w:val="836"/>
    <w:next w:val="836"/>
    <w:link w:val="67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7">
    <w:name w:val="Heading 7 Char"/>
    <w:basedOn w:val="837"/>
    <w:link w:val="67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8">
    <w:name w:val="Heading 8"/>
    <w:basedOn w:val="836"/>
    <w:next w:val="836"/>
    <w:link w:val="67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9">
    <w:name w:val="Heading 8 Char"/>
    <w:basedOn w:val="837"/>
    <w:link w:val="678"/>
    <w:uiPriority w:val="9"/>
    <w:rPr>
      <w:rFonts w:ascii="Arial" w:hAnsi="Arial" w:eastAsia="Arial" w:cs="Arial"/>
      <w:i/>
      <w:iCs/>
      <w:sz w:val="22"/>
      <w:szCs w:val="22"/>
    </w:rPr>
  </w:style>
  <w:style w:type="paragraph" w:styleId="680">
    <w:name w:val="Heading 9"/>
    <w:basedOn w:val="836"/>
    <w:next w:val="836"/>
    <w:link w:val="68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>
    <w:name w:val="Heading 9 Char"/>
    <w:basedOn w:val="837"/>
    <w:link w:val="680"/>
    <w:uiPriority w:val="9"/>
    <w:rPr>
      <w:rFonts w:ascii="Arial" w:hAnsi="Arial" w:eastAsia="Arial" w:cs="Arial"/>
      <w:i/>
      <w:iCs/>
      <w:sz w:val="21"/>
      <w:szCs w:val="21"/>
    </w:rPr>
  </w:style>
  <w:style w:type="character" w:styleId="682">
    <w:name w:val="Title Char"/>
    <w:basedOn w:val="837"/>
    <w:link w:val="843"/>
    <w:uiPriority w:val="10"/>
    <w:rPr>
      <w:sz w:val="48"/>
      <w:szCs w:val="48"/>
    </w:rPr>
  </w:style>
  <w:style w:type="paragraph" w:styleId="683">
    <w:name w:val="Subtitle"/>
    <w:basedOn w:val="836"/>
    <w:next w:val="836"/>
    <w:link w:val="684"/>
    <w:uiPriority w:val="11"/>
    <w:qFormat/>
    <w:pPr>
      <w:spacing w:before="200" w:after="200"/>
    </w:pPr>
    <w:rPr>
      <w:sz w:val="24"/>
      <w:szCs w:val="24"/>
    </w:rPr>
  </w:style>
  <w:style w:type="character" w:styleId="684">
    <w:name w:val="Subtitle Char"/>
    <w:basedOn w:val="837"/>
    <w:link w:val="683"/>
    <w:uiPriority w:val="11"/>
    <w:rPr>
      <w:sz w:val="24"/>
      <w:szCs w:val="24"/>
    </w:rPr>
  </w:style>
  <w:style w:type="paragraph" w:styleId="685">
    <w:name w:val="Quote"/>
    <w:basedOn w:val="836"/>
    <w:next w:val="836"/>
    <w:link w:val="686"/>
    <w:uiPriority w:val="29"/>
    <w:qFormat/>
    <w:pPr>
      <w:ind w:left="720" w:right="720"/>
    </w:pPr>
    <w:rPr>
      <w:i/>
    </w:rPr>
  </w:style>
  <w:style w:type="character" w:styleId="686">
    <w:name w:val="Quote Char"/>
    <w:link w:val="685"/>
    <w:uiPriority w:val="29"/>
    <w:rPr>
      <w:i/>
    </w:rPr>
  </w:style>
  <w:style w:type="paragraph" w:styleId="687">
    <w:name w:val="Intense Quote"/>
    <w:basedOn w:val="836"/>
    <w:next w:val="836"/>
    <w:link w:val="688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8">
    <w:name w:val="Intense Quote Char"/>
    <w:link w:val="687"/>
    <w:uiPriority w:val="30"/>
    <w:rPr>
      <w:i/>
    </w:rPr>
  </w:style>
  <w:style w:type="paragraph" w:styleId="689">
    <w:name w:val="Header"/>
    <w:basedOn w:val="836"/>
    <w:link w:val="69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0">
    <w:name w:val="Header Char"/>
    <w:basedOn w:val="837"/>
    <w:link w:val="689"/>
    <w:uiPriority w:val="99"/>
  </w:style>
  <w:style w:type="paragraph" w:styleId="691">
    <w:name w:val="Footer"/>
    <w:basedOn w:val="836"/>
    <w:link w:val="69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2">
    <w:name w:val="Footer Char"/>
    <w:basedOn w:val="837"/>
    <w:link w:val="691"/>
    <w:uiPriority w:val="99"/>
  </w:style>
  <w:style w:type="paragraph" w:styleId="693">
    <w:name w:val="Caption"/>
    <w:basedOn w:val="836"/>
    <w:next w:val="83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4">
    <w:name w:val="Caption Char"/>
    <w:basedOn w:val="693"/>
    <w:link w:val="691"/>
    <w:uiPriority w:val="99"/>
  </w:style>
  <w:style w:type="table" w:styleId="695">
    <w:name w:val="Table Grid Light"/>
    <w:basedOn w:val="83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6">
    <w:name w:val="Plain Table 1"/>
    <w:basedOn w:val="83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7">
    <w:name w:val="Plain Table 2"/>
    <w:basedOn w:val="83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8">
    <w:name w:val="Plain Table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9">
    <w:name w:val="Plain Table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Plain Table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1">
    <w:name w:val="Grid Table 1 Light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4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3">
    <w:name w:val="Grid Table 4 - Accent 1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4">
    <w:name w:val="Grid Table 4 - Accent 2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5">
    <w:name w:val="Grid Table 4 - Accent 3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6">
    <w:name w:val="Grid Table 4 - Accent 4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7">
    <w:name w:val="Grid Table 4 - Accent 5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8">
    <w:name w:val="Grid Table 4 - Accent 6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9">
    <w:name w:val="Grid Table 5 Dark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0">
    <w:name w:val="Grid Table 5 Dark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1">
    <w:name w:val="Grid Table 5 Dark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3">
    <w:name w:val="Grid Table 5 Dark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5">
    <w:name w:val="Grid Table 5 Dark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6">
    <w:name w:val="Grid Table 6 Colorful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7">
    <w:name w:val="Grid Table 6 Colorful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8">
    <w:name w:val="Grid Table 6 Colorful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9">
    <w:name w:val="Grid Table 6 Colorful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0">
    <w:name w:val="Grid Table 6 Colorful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1">
    <w:name w:val="Grid Table 6 Colorful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2">
    <w:name w:val="Grid Table 6 Colorful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3">
    <w:name w:val="Grid Table 7 Colorful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8">
    <w:name w:val="List Table 2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9">
    <w:name w:val="List Table 2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0">
    <w:name w:val="List Table 2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1">
    <w:name w:val="List Table 2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2">
    <w:name w:val="List Table 2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3">
    <w:name w:val="List Table 2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4">
    <w:name w:val="List Table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5 Dark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6 Colorful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6">
    <w:name w:val="List Table 6 Colorful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7">
    <w:name w:val="List Table 6 Colorful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8">
    <w:name w:val="List Table 6 Colorful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9">
    <w:name w:val="List Table 6 Colorful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0">
    <w:name w:val="List Table 6 Colorful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1">
    <w:name w:val="List Table 6 Colorful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2">
    <w:name w:val="List Table 7 Colorful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3">
    <w:name w:val="List Table 7 Colorful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4">
    <w:name w:val="List Table 7 Colorful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5">
    <w:name w:val="List Table 7 Colorful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6">
    <w:name w:val="List Table 7 Colorful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7">
    <w:name w:val="List Table 7 Colorful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8">
    <w:name w:val="List Table 7 Colorful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9">
    <w:name w:val="Lined - Accent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Lined - Accent 1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1">
    <w:name w:val="Lined - Accent 2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2">
    <w:name w:val="Lined - Accent 3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3">
    <w:name w:val="Lined - Accent 4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4">
    <w:name w:val="Lined - Accent 5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5">
    <w:name w:val="Lined - Accent 6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6">
    <w:name w:val="Bordered &amp; Lined - Accent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7">
    <w:name w:val="Bordered &amp; Lined - Accent 1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8">
    <w:name w:val="Bordered &amp; Lined - Accent 2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9">
    <w:name w:val="Bordered &amp; Lined - Accent 3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0">
    <w:name w:val="Bordered &amp; Lined - Accent 4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1">
    <w:name w:val="Bordered &amp; Lined - Accent 5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2">
    <w:name w:val="Bordered &amp; Lined - Accent 6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3">
    <w:name w:val="Bordered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4">
    <w:name w:val="Bordered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5">
    <w:name w:val="Bordered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6">
    <w:name w:val="Bordered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7">
    <w:name w:val="Bordered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8">
    <w:name w:val="Bordered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9">
    <w:name w:val="Bordered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0">
    <w:name w:val="Hyperlink"/>
    <w:uiPriority w:val="99"/>
    <w:unhideWhenUsed/>
    <w:rPr>
      <w:color w:val="0000ff" w:themeColor="hyperlink"/>
      <w:u w:val="single"/>
    </w:rPr>
  </w:style>
  <w:style w:type="character" w:styleId="821">
    <w:name w:val="Footnote Text Char"/>
    <w:link w:val="847"/>
    <w:uiPriority w:val="99"/>
    <w:rPr>
      <w:sz w:val="18"/>
    </w:rPr>
  </w:style>
  <w:style w:type="paragraph" w:styleId="822">
    <w:name w:val="endnote text"/>
    <w:basedOn w:val="836"/>
    <w:link w:val="823"/>
    <w:uiPriority w:val="99"/>
    <w:semiHidden/>
    <w:unhideWhenUsed/>
    <w:pPr>
      <w:spacing w:after="0" w:line="240" w:lineRule="auto"/>
    </w:pPr>
    <w:rPr>
      <w:sz w:val="20"/>
    </w:rPr>
  </w:style>
  <w:style w:type="character" w:styleId="823">
    <w:name w:val="Endnote Text Char"/>
    <w:link w:val="822"/>
    <w:uiPriority w:val="99"/>
    <w:rPr>
      <w:sz w:val="20"/>
    </w:rPr>
  </w:style>
  <w:style w:type="character" w:styleId="824">
    <w:name w:val="endnote reference"/>
    <w:basedOn w:val="837"/>
    <w:uiPriority w:val="99"/>
    <w:semiHidden/>
    <w:unhideWhenUsed/>
    <w:rPr>
      <w:vertAlign w:val="superscript"/>
    </w:rPr>
  </w:style>
  <w:style w:type="paragraph" w:styleId="825">
    <w:name w:val="toc 1"/>
    <w:basedOn w:val="836"/>
    <w:next w:val="836"/>
    <w:uiPriority w:val="39"/>
    <w:unhideWhenUsed/>
    <w:pPr>
      <w:ind w:left="0" w:right="0" w:firstLine="0"/>
      <w:spacing w:after="57"/>
    </w:pPr>
  </w:style>
  <w:style w:type="paragraph" w:styleId="826">
    <w:name w:val="toc 2"/>
    <w:basedOn w:val="836"/>
    <w:next w:val="836"/>
    <w:uiPriority w:val="39"/>
    <w:unhideWhenUsed/>
    <w:pPr>
      <w:ind w:left="283" w:right="0" w:firstLine="0"/>
      <w:spacing w:after="57"/>
    </w:pPr>
  </w:style>
  <w:style w:type="paragraph" w:styleId="827">
    <w:name w:val="toc 3"/>
    <w:basedOn w:val="836"/>
    <w:next w:val="836"/>
    <w:uiPriority w:val="39"/>
    <w:unhideWhenUsed/>
    <w:pPr>
      <w:ind w:left="567" w:right="0" w:firstLine="0"/>
      <w:spacing w:after="57"/>
    </w:pPr>
  </w:style>
  <w:style w:type="paragraph" w:styleId="828">
    <w:name w:val="toc 4"/>
    <w:basedOn w:val="836"/>
    <w:next w:val="836"/>
    <w:uiPriority w:val="39"/>
    <w:unhideWhenUsed/>
    <w:pPr>
      <w:ind w:left="850" w:right="0" w:firstLine="0"/>
      <w:spacing w:after="57"/>
    </w:pPr>
  </w:style>
  <w:style w:type="paragraph" w:styleId="829">
    <w:name w:val="toc 5"/>
    <w:basedOn w:val="836"/>
    <w:next w:val="836"/>
    <w:uiPriority w:val="39"/>
    <w:unhideWhenUsed/>
    <w:pPr>
      <w:ind w:left="1134" w:right="0" w:firstLine="0"/>
      <w:spacing w:after="57"/>
    </w:pPr>
  </w:style>
  <w:style w:type="paragraph" w:styleId="830">
    <w:name w:val="toc 6"/>
    <w:basedOn w:val="836"/>
    <w:next w:val="836"/>
    <w:uiPriority w:val="39"/>
    <w:unhideWhenUsed/>
    <w:pPr>
      <w:ind w:left="1417" w:right="0" w:firstLine="0"/>
      <w:spacing w:after="57"/>
    </w:pPr>
  </w:style>
  <w:style w:type="paragraph" w:styleId="831">
    <w:name w:val="toc 7"/>
    <w:basedOn w:val="836"/>
    <w:next w:val="836"/>
    <w:uiPriority w:val="39"/>
    <w:unhideWhenUsed/>
    <w:pPr>
      <w:ind w:left="1701" w:right="0" w:firstLine="0"/>
      <w:spacing w:after="57"/>
    </w:pPr>
  </w:style>
  <w:style w:type="paragraph" w:styleId="832">
    <w:name w:val="toc 8"/>
    <w:basedOn w:val="836"/>
    <w:next w:val="836"/>
    <w:uiPriority w:val="39"/>
    <w:unhideWhenUsed/>
    <w:pPr>
      <w:ind w:left="1984" w:right="0" w:firstLine="0"/>
      <w:spacing w:after="57"/>
    </w:pPr>
  </w:style>
  <w:style w:type="paragraph" w:styleId="833">
    <w:name w:val="toc 9"/>
    <w:basedOn w:val="836"/>
    <w:next w:val="836"/>
    <w:uiPriority w:val="39"/>
    <w:unhideWhenUsed/>
    <w:pPr>
      <w:ind w:left="2268" w:right="0" w:firstLine="0"/>
      <w:spacing w:after="57"/>
    </w:pPr>
  </w:style>
  <w:style w:type="paragraph" w:styleId="834">
    <w:name w:val="TOC Heading"/>
    <w:uiPriority w:val="39"/>
    <w:unhideWhenUsed/>
  </w:style>
  <w:style w:type="paragraph" w:styleId="835">
    <w:name w:val="table of figures"/>
    <w:basedOn w:val="836"/>
    <w:next w:val="836"/>
    <w:uiPriority w:val="99"/>
    <w:unhideWhenUsed/>
    <w:pPr>
      <w:spacing w:after="0" w:afterAutospacing="0"/>
    </w:pPr>
  </w:style>
  <w:style w:type="paragraph" w:styleId="836" w:default="1">
    <w:name w:val="Normal"/>
    <w:qFormat/>
    <w:pPr>
      <w:ind w:firstLine="709"/>
      <w:jc w:val="both"/>
      <w:spacing w:after="0" w:line="240" w:lineRule="auto"/>
    </w:pPr>
    <w:rPr>
      <w:rFonts w:ascii="Times New Roman" w:hAnsi="Times New Roman"/>
      <w:sz w:val="28"/>
    </w:rPr>
  </w:style>
  <w:style w:type="character" w:styleId="837" w:default="1">
    <w:name w:val="Default Paragraph Font"/>
    <w:uiPriority w:val="1"/>
    <w:semiHidden/>
    <w:unhideWhenUsed/>
  </w:style>
  <w:style w:type="table" w:styleId="83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9" w:default="1">
    <w:name w:val="No List"/>
    <w:uiPriority w:val="99"/>
    <w:semiHidden/>
    <w:unhideWhenUsed/>
  </w:style>
  <w:style w:type="table" w:styleId="840">
    <w:name w:val="Table Grid"/>
    <w:basedOn w:val="838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41">
    <w:name w:val="No Spacing"/>
    <w:uiPriority w:val="1"/>
    <w:qFormat/>
    <w:pPr>
      <w:spacing w:after="0" w:line="240" w:lineRule="auto"/>
    </w:pPr>
    <w:rPr>
      <w:rFonts w:ascii="Times New Roman" w:hAnsi="Times New Roman"/>
      <w:sz w:val="24"/>
    </w:rPr>
  </w:style>
  <w:style w:type="paragraph" w:styleId="842" w:customStyle="1">
    <w:name w:val="Standard"/>
    <w:pPr>
      <w:spacing w:after="0" w:line="240" w:lineRule="auto"/>
    </w:pPr>
    <w:rPr>
      <w:rFonts w:ascii="Calibri" w:hAnsi="Calibri" w:eastAsia="Calibri" w:cs="Calibri"/>
      <w:color w:val="000000"/>
      <w:lang w:eastAsia="ru-RU"/>
      <w14:textOutline w14:w="0" w14:cap="flat" w14:cmpd="sng" w14:algn="ctr">
        <w14:noFill/>
        <w14:prstDash w14:val="solid"/>
        <w14:bevel/>
      </w14:textOutline>
    </w:rPr>
  </w:style>
  <w:style w:type="paragraph" w:styleId="843">
    <w:name w:val="Title"/>
    <w:basedOn w:val="836"/>
    <w:next w:val="836"/>
    <w:link w:val="844"/>
    <w:uiPriority w:val="10"/>
    <w:qFormat/>
    <w:pPr>
      <w:contextualSpacing/>
      <w:jc w:val="center"/>
      <w:spacing w:after="240"/>
    </w:pPr>
    <w:rPr>
      <w:rFonts w:eastAsiaTheme="majorEastAsia" w:cstheme="majorBidi"/>
      <w:b/>
      <w:spacing w:val="5"/>
      <w:szCs w:val="52"/>
    </w:rPr>
  </w:style>
  <w:style w:type="character" w:styleId="844" w:customStyle="1">
    <w:name w:val="Название Знак"/>
    <w:basedOn w:val="837"/>
    <w:link w:val="843"/>
    <w:uiPriority w:val="10"/>
    <w:rPr>
      <w:rFonts w:ascii="Times New Roman" w:hAnsi="Times New Roman" w:eastAsiaTheme="majorEastAsia" w:cstheme="majorBidi"/>
      <w:b/>
      <w:spacing w:val="5"/>
      <w:sz w:val="28"/>
      <w:szCs w:val="52"/>
    </w:rPr>
  </w:style>
  <w:style w:type="paragraph" w:styleId="845" w:customStyle="1">
    <w:name w:val="ConsPlusNormal"/>
    <w:pPr>
      <w:spacing w:after="0" w:line="240" w:lineRule="auto"/>
      <w:widowControl w:val="off"/>
    </w:pPr>
    <w:rPr>
      <w:rFonts w:ascii="Calibri" w:hAnsi="Calibri" w:eastAsia="Times New Roman" w:cs="Calibri"/>
      <w:szCs w:val="20"/>
      <w:lang w:eastAsia="ru-RU"/>
    </w:rPr>
  </w:style>
  <w:style w:type="paragraph" w:styleId="846">
    <w:name w:val="List Paragraph"/>
    <w:basedOn w:val="836"/>
    <w:uiPriority w:val="34"/>
    <w:qFormat/>
    <w:pPr>
      <w:contextualSpacing/>
      <w:ind w:left="720"/>
    </w:pPr>
  </w:style>
  <w:style w:type="paragraph" w:styleId="847">
    <w:name w:val="footnote text"/>
    <w:basedOn w:val="836"/>
    <w:link w:val="848"/>
    <w:uiPriority w:val="99"/>
    <w:semiHidden/>
    <w:unhideWhenUsed/>
    <w:rPr>
      <w:sz w:val="20"/>
      <w:szCs w:val="20"/>
    </w:rPr>
  </w:style>
  <w:style w:type="character" w:styleId="848" w:customStyle="1">
    <w:name w:val="Текст сноски Знак"/>
    <w:basedOn w:val="837"/>
    <w:link w:val="847"/>
    <w:uiPriority w:val="99"/>
    <w:semiHidden/>
    <w:rPr>
      <w:rFonts w:ascii="Times New Roman" w:hAnsi="Times New Roman"/>
      <w:sz w:val="20"/>
      <w:szCs w:val="20"/>
    </w:rPr>
  </w:style>
  <w:style w:type="character" w:styleId="849">
    <w:name w:val="footnote reference"/>
    <w:basedOn w:val="837"/>
    <w:uiPriority w:val="99"/>
    <w:semiHidden/>
    <w:unhideWhenUsed/>
    <w:rPr>
      <w:vertAlign w:val="superscript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7071C9-05D7-4033-B6DA-0F6E801DFE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Р7-Офис/2024.3.2.551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revision>70</cp:revision>
  <dcterms:created xsi:type="dcterms:W3CDTF">2024-08-14T10:01:00Z</dcterms:created>
  <dcterms:modified xsi:type="dcterms:W3CDTF">2024-12-03T04:32:26Z</dcterms:modified>
</cp:coreProperties>
</file>