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0" w:firstLine="709"/>
        <w:jc w:val="center"/>
        <w:spacing w:after="0"/>
        <w:widowControl w:val="off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eastAsia="Times New Roman" w:cs="Times New Roman"/>
          <w:b/>
          <w:smallCaps/>
          <w:sz w:val="28"/>
          <w:szCs w:val="28"/>
        </w:rPr>
        <w:t xml:space="preserve">ДОКУМЕНТОВ</w:t>
      </w:r>
      <w:r>
        <w:rPr>
          <w:rFonts w:ascii="Times New Roman" w:hAnsi="Times New Roman" w:eastAsia="Times New Roman" w:cs="Times New Roman"/>
          <w:smallCap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mallCaps/>
          <w:sz w:val="28"/>
          <w:szCs w:val="28"/>
        </w:rPr>
      </w:r>
      <w:r>
        <w:rPr>
          <w:rFonts w:ascii="Times New Roman" w:hAnsi="Times New Roman" w:cs="Times New Roman"/>
          <w:smallCaps/>
          <w:sz w:val="28"/>
          <w:szCs w:val="28"/>
        </w:rPr>
      </w:r>
    </w:p>
    <w:p>
      <w:pPr>
        <w:pStyle w:val="833"/>
        <w:ind w:left="0" w:right="0" w:firstLine="0"/>
        <w:jc w:val="center"/>
        <w:spacing w:after="0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mallCaps/>
          <w:sz w:val="28"/>
          <w:szCs w:val="28"/>
        </w:rPr>
        <w:t xml:space="preserve">ДЛЯ ПРИСВОЕНИЯ </w:t>
      </w:r>
      <w:r>
        <w:rPr>
          <w:rFonts w:ascii="Times New Roman" w:hAnsi="Times New Roman" w:eastAsia="Times New Roman" w:cs="Times New Roman"/>
          <w:smallCaps/>
          <w:sz w:val="28"/>
          <w:szCs w:val="28"/>
        </w:rPr>
        <w:t xml:space="preserve">КВАЛИФИКАЦИОННОЙ КАТЕГОРИИ </w:t>
      </w:r>
      <w:r>
        <w:rPr>
          <w:rFonts w:ascii="Times New Roman" w:hAnsi="Times New Roman" w:eastAsia="Times New Roman" w:cs="Times New Roman"/>
          <w:smallCaps/>
          <w:sz w:val="28"/>
          <w:szCs w:val="28"/>
        </w:rPr>
        <w:t xml:space="preserve">СПОРТИВНОГО СУДЬИ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«СПОРТИВНЫЙ СУДЬЯ ВСЕРОССИЙСКОЙ КАТЕГОРИИ»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left="0" w:firstLine="709"/>
        <w:jc w:val="center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firstLine="709"/>
        <w:jc w:val="both"/>
        <w:spacing w:after="0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Ходатайство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региональной спортивной федерации по виду спорта (на бланке федерации) на имя министра физической культуры и спорта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Ахапова С.А.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ind w:left="0" w:firstLine="709"/>
        <w:jc w:val="both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Представлени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присвоению квалификационной категории спортивного судьи,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заверенно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печатью и подписью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руководителя или уполномоченного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должностного лица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(подтверждающий документ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 лице,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имеющем право без доверенности действовать от имени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региональной спортивной федерацией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Выписка из ЕГРЮЛ) или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нотариально заверенная доверенность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региональной спортивной федерации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по соответствующему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виду спорта, осуществляющей учет судейской деятельности спортивного судьи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аверенная печатью и подписью руководителя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или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уполномоченного должностного лица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региональной спортивной федерации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копия карточки уч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ета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удейской деятельности спортивного судьи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(заверяется каждая страница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карточки учета)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опии второй и третьей страниц паспорта гражданина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копии страниц, содержащих сведения о месте жительства кандидата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при его отсутствии ‒ копии страниц паспорта гражданина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граждан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опия паспорта иностранного гражданина либо иного документа, установленного Федеральным </w:t>
      </w:r>
      <w:hyperlink r:id="rId8" w:tooltip="http://www.consultant.ru/document/cons_doc_LAW_149244/7fb121823bcb5879d21cfdad0d8a5a5c9c783a35/#dst100012" w:anchor="dst100012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от 25.07.2002 № 115-ФЗ «О правовом положении граждан в Российской Федерации» (Собрание законодательства Российской Федерации, 2002,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30, ст. 3032; 2022, № 29, ст. 5324) (далее ‒ Федеральный закон № 115-ФЗ) или признаваемого в соответствии с международным договором Российской Федерации в качестве документа, удостоверяющего личность иностранного гражданина ‒ для иностранного гражданина.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документа, удостоверяющего личность лица без гражданства в Российской Федерации,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лица без гражданства.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Style w:val="837"/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Style w:val="837"/>
          <w:rFonts w:ascii="Times New Roman" w:hAnsi="Times New Roman" w:eastAsia="Times New Roman" w:cs="Times New Roman"/>
          <w:sz w:val="28"/>
          <w:szCs w:val="28"/>
        </w:rPr>
        <w:t xml:space="preserve">опия военного билета ‒ для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оеннослужащих, проходящих военную службу по призыву (в случае отсутствия паспорта гражданина Российской Федерации).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фотографии размером 3 x 4 см.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Документы для присвоения всероссийской категории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течение 9 месяцев со дня выполнения Квалификационных требований.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Всероссийская категория подлежит подтверждению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раз в 4 года.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Все мероприятия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учету судейской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подтверждению всероссийской квалификационной категории спортивного судьи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 общероссийской спортивной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к компетенции которого отнесены полномочия по организации судейства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character" w:styleId="814">
    <w:name w:val="Footnote Text Char"/>
    <w:link w:val="834"/>
    <w:uiPriority w:val="99"/>
    <w:rPr>
      <w:sz w:val="18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rFonts w:ascii="Times New Roman" w:hAnsi="Times New Roman" w:eastAsia="Calibri" w:cs="Times New Roman"/>
      <w:sz w:val="28"/>
      <w:szCs w:val="28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</w:pPr>
    <w:rPr>
      <w:rFonts w:ascii="Calibri" w:hAnsi="Calibri"/>
      <w:sz w:val="22"/>
      <w:szCs w:val="22"/>
    </w:rPr>
  </w:style>
  <w:style w:type="paragraph" w:styleId="834">
    <w:name w:val="footnote text"/>
    <w:basedOn w:val="829"/>
    <w:link w:val="835"/>
    <w:semiHidden/>
    <w:unhideWhenUsed/>
    <w:pPr>
      <w:spacing w:after="0" w:line="240" w:lineRule="auto"/>
    </w:pPr>
    <w:rPr>
      <w:rFonts w:ascii="Calibri" w:hAnsi="Calibri"/>
      <w:sz w:val="20"/>
      <w:szCs w:val="20"/>
    </w:rPr>
  </w:style>
  <w:style w:type="character" w:styleId="835" w:customStyle="1">
    <w:name w:val="Текст сноски Знак"/>
    <w:basedOn w:val="830"/>
    <w:link w:val="834"/>
    <w:semiHidden/>
    <w:rPr>
      <w:rFonts w:ascii="Calibri" w:hAnsi="Calibri" w:eastAsia="Calibri" w:cs="Times New Roman"/>
      <w:sz w:val="20"/>
      <w:szCs w:val="20"/>
    </w:rPr>
  </w:style>
  <w:style w:type="character" w:styleId="836">
    <w:name w:val="footnote reference"/>
    <w:semiHidden/>
    <w:unhideWhenUsed/>
    <w:rPr>
      <w:vertAlign w:val="superscript"/>
    </w:rPr>
  </w:style>
  <w:style w:type="character" w:styleId="837" w:customStyle="1">
    <w:name w:val="Font Style17"/>
    <w:rPr>
      <w:rFonts w:ascii="Times New Roman" w:hAnsi="Times New Roman"/>
      <w:sz w:val="26"/>
    </w:rPr>
  </w:style>
  <w:style w:type="paragraph" w:styleId="83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consultant.ru/document/cons_doc_LAW_149244/7fb121823bcb5879d21cfdad0d8a5a5c9c783a3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2023-04-03T05:21:00Z</dcterms:created>
  <dcterms:modified xsi:type="dcterms:W3CDTF">2024-05-21T03:33:50Z</dcterms:modified>
</cp:coreProperties>
</file>